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19D6FDDD" w14:textId="1A33E789" w:rsidR="007A3A9F" w:rsidRDefault="007A3A9F">
      <w:pPr>
        <w:pStyle w:val="ndicedeilustraes"/>
        <w:tabs>
          <w:tab w:val="right" w:leader="dot" w:pos="9350"/>
        </w:tabs>
        <w:rPr>
          <w:noProof/>
        </w:rPr>
      </w:pPr>
      <w:r>
        <w:rPr>
          <w:lang w:bidi="pt-PT"/>
        </w:rPr>
        <w:fldChar w:fldCharType="begin"/>
      </w:r>
      <w:r>
        <w:rPr>
          <w:lang w:bidi="pt-PT"/>
        </w:rPr>
        <w:instrText xml:space="preserve"> TOC \h \z \c "Figura" </w:instrText>
      </w:r>
      <w:r>
        <w:rPr>
          <w:lang w:bidi="pt-PT"/>
        </w:rPr>
        <w:fldChar w:fldCharType="separate"/>
      </w:r>
      <w:hyperlink w:anchor="_Toc212043430" w:history="1">
        <w:r w:rsidRPr="00A006EF">
          <w:rPr>
            <w:rStyle w:val="Hiperligao"/>
            <w:noProof/>
          </w:rPr>
          <w:t>Figura 1-Mapa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_Toc212043430 \h </w:instrText>
        </w:r>
        <w:r>
          <w:rPr>
            <w:noProof/>
            <w:webHidden/>
          </w:rPr>
        </w:r>
        <w:r>
          <w:rPr>
            <w:noProof/>
            <w:webHidden/>
          </w:rPr>
          <w:fldChar w:fldCharType="separate"/>
        </w:r>
        <w:r>
          <w:rPr>
            <w:noProof/>
            <w:webHidden/>
          </w:rPr>
          <w:t>4</w:t>
        </w:r>
        <w:r>
          <w:rPr>
            <w:noProof/>
            <w:webHidden/>
          </w:rPr>
          <w:fldChar w:fldCharType="end"/>
        </w:r>
      </w:hyperlink>
    </w:p>
    <w:p w14:paraId="67D5CCBE" w14:textId="245837FD" w:rsidR="007A3A9F" w:rsidRDefault="007A3A9F">
      <w:pPr>
        <w:pStyle w:val="ndicedeilustraes"/>
        <w:tabs>
          <w:tab w:val="right" w:leader="dot" w:pos="9350"/>
        </w:tabs>
        <w:rPr>
          <w:noProof/>
        </w:rPr>
      </w:pPr>
      <w:hyperlink w:anchor="_Toc212043431" w:history="1">
        <w:r w:rsidRPr="00A006EF">
          <w:rPr>
            <w:rStyle w:val="Hiperligao"/>
            <w:noProof/>
          </w:rPr>
          <w:t>Figura 2-Distância do porto de Salónica a várias cidades de relevo</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_Toc212043431 \h </w:instrText>
        </w:r>
        <w:r>
          <w:rPr>
            <w:noProof/>
            <w:webHidden/>
          </w:rPr>
        </w:r>
        <w:r>
          <w:rPr>
            <w:noProof/>
            <w:webHidden/>
          </w:rPr>
          <w:fldChar w:fldCharType="separate"/>
        </w:r>
        <w:r>
          <w:rPr>
            <w:noProof/>
            <w:webHidden/>
          </w:rPr>
          <w:t>5</w:t>
        </w:r>
        <w:r>
          <w:rPr>
            <w:noProof/>
            <w:webHidden/>
          </w:rPr>
          <w:fldChar w:fldCharType="end"/>
        </w:r>
      </w:hyperlink>
    </w:p>
    <w:p w14:paraId="101C7D7A" w14:textId="35FDB95B" w:rsidR="007A3A9F" w:rsidRDefault="007A3A9F">
      <w:pPr>
        <w:pStyle w:val="ndicedeilustraes"/>
        <w:tabs>
          <w:tab w:val="right" w:leader="dot" w:pos="9350"/>
        </w:tabs>
        <w:rPr>
          <w:noProof/>
        </w:rPr>
      </w:pPr>
      <w:hyperlink w:anchor="_Toc212043432" w:history="1">
        <w:r w:rsidRPr="00A006EF">
          <w:rPr>
            <w:rStyle w:val="Hiperligao"/>
            <w:noProof/>
          </w:rPr>
          <w:t>Figura 3-Área de influência do porto de Salónica</w:t>
        </w:r>
        <w:r w:rsidRPr="00A006EF">
          <w:rPr>
            <w:rStyle w:val="Hiperligao"/>
            <w:rFonts w:eastAsia="Calibri" w:cs="Calibri"/>
            <w:noProof/>
          </w:rPr>
          <w:t xml:space="preserve"> (Thessaloniki)</w:t>
        </w:r>
        <w:r>
          <w:rPr>
            <w:noProof/>
            <w:webHidden/>
          </w:rPr>
          <w:tab/>
        </w:r>
        <w:r>
          <w:rPr>
            <w:noProof/>
            <w:webHidden/>
          </w:rPr>
          <w:fldChar w:fldCharType="begin"/>
        </w:r>
        <w:r>
          <w:rPr>
            <w:noProof/>
            <w:webHidden/>
          </w:rPr>
          <w:instrText xml:space="preserve"> PAGEREF _Toc212043432 \h </w:instrText>
        </w:r>
        <w:r>
          <w:rPr>
            <w:noProof/>
            <w:webHidden/>
          </w:rPr>
        </w:r>
        <w:r>
          <w:rPr>
            <w:noProof/>
            <w:webHidden/>
          </w:rPr>
          <w:fldChar w:fldCharType="separate"/>
        </w:r>
        <w:r>
          <w:rPr>
            <w:noProof/>
            <w:webHidden/>
          </w:rPr>
          <w:t>6</w:t>
        </w:r>
        <w:r>
          <w:rPr>
            <w:noProof/>
            <w:webHidden/>
          </w:rPr>
          <w:fldChar w:fldCharType="end"/>
        </w:r>
      </w:hyperlink>
    </w:p>
    <w:p w14:paraId="30066CBD" w14:textId="201B498E" w:rsidR="007A3A9F" w:rsidRDefault="007A3A9F">
      <w:pPr>
        <w:pStyle w:val="ndicedeilustraes"/>
        <w:tabs>
          <w:tab w:val="right" w:leader="dot" w:pos="9350"/>
        </w:tabs>
        <w:rPr>
          <w:noProof/>
        </w:rPr>
      </w:pPr>
      <w:hyperlink w:anchor="_Toc212043433" w:history="1">
        <w:r w:rsidRPr="00A006EF">
          <w:rPr>
            <w:rStyle w:val="Hiperligao"/>
            <w:noProof/>
          </w:rPr>
          <w:t>Figura 4-Estrutura acionista do porto de Salónica (Thessaloniki)</w:t>
        </w:r>
        <w:r>
          <w:rPr>
            <w:noProof/>
            <w:webHidden/>
          </w:rPr>
          <w:tab/>
        </w:r>
        <w:r>
          <w:rPr>
            <w:noProof/>
            <w:webHidden/>
          </w:rPr>
          <w:fldChar w:fldCharType="begin"/>
        </w:r>
        <w:r>
          <w:rPr>
            <w:noProof/>
            <w:webHidden/>
          </w:rPr>
          <w:instrText xml:space="preserve"> PAGEREF _Toc212043433 \h </w:instrText>
        </w:r>
        <w:r>
          <w:rPr>
            <w:noProof/>
            <w:webHidden/>
          </w:rPr>
        </w:r>
        <w:r>
          <w:rPr>
            <w:noProof/>
            <w:webHidden/>
          </w:rPr>
          <w:fldChar w:fldCharType="separate"/>
        </w:r>
        <w:r>
          <w:rPr>
            <w:noProof/>
            <w:webHidden/>
          </w:rPr>
          <w:t>7</w:t>
        </w:r>
        <w:r>
          <w:rPr>
            <w:noProof/>
            <w:webHidden/>
          </w:rPr>
          <w:fldChar w:fldCharType="end"/>
        </w:r>
      </w:hyperlink>
    </w:p>
    <w:p w14:paraId="01866A14" w14:textId="55A118F6" w:rsidR="007A3A9F" w:rsidRDefault="007A3A9F">
      <w:pPr>
        <w:pStyle w:val="ndicedeilustraes"/>
        <w:tabs>
          <w:tab w:val="right" w:leader="dot" w:pos="9350"/>
        </w:tabs>
        <w:rPr>
          <w:noProof/>
        </w:rPr>
      </w:pPr>
      <w:hyperlink w:anchor="_Toc212043434" w:history="1">
        <w:r w:rsidRPr="00A006EF">
          <w:rPr>
            <w:rStyle w:val="Hiperligao"/>
            <w:noProof/>
          </w:rPr>
          <w:t>Figura 5-Organograma do Porto de Salónica (Thessaloniki, s.d.)</w:t>
        </w:r>
        <w:r>
          <w:rPr>
            <w:noProof/>
            <w:webHidden/>
          </w:rPr>
          <w:tab/>
        </w:r>
        <w:r>
          <w:rPr>
            <w:noProof/>
            <w:webHidden/>
          </w:rPr>
          <w:fldChar w:fldCharType="begin"/>
        </w:r>
        <w:r>
          <w:rPr>
            <w:noProof/>
            <w:webHidden/>
          </w:rPr>
          <w:instrText xml:space="preserve"> PAGEREF _Toc212043434 \h </w:instrText>
        </w:r>
        <w:r>
          <w:rPr>
            <w:noProof/>
            <w:webHidden/>
          </w:rPr>
        </w:r>
        <w:r>
          <w:rPr>
            <w:noProof/>
            <w:webHidden/>
          </w:rPr>
          <w:fldChar w:fldCharType="separate"/>
        </w:r>
        <w:r>
          <w:rPr>
            <w:noProof/>
            <w:webHidden/>
          </w:rPr>
          <w:t>9</w:t>
        </w:r>
        <w:r>
          <w:rPr>
            <w:noProof/>
            <w:webHidden/>
          </w:rPr>
          <w:fldChar w:fldCharType="end"/>
        </w:r>
      </w:hyperlink>
    </w:p>
    <w:p w14:paraId="216D43E6" w14:textId="1CA02575" w:rsidR="00B731BA" w:rsidRDefault="007A3A9F" w:rsidP="00B731BA">
      <w:pPr>
        <w:rPr>
          <w:lang w:bidi="pt-PT"/>
        </w:rPr>
      </w:pPr>
      <w:r>
        <w:rPr>
          <w:lang w:bidi="pt-PT"/>
        </w:rPr>
        <w:fldChar w:fldCharType="end"/>
      </w: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6FE8E2C0" w:rsidR="6E5E5677" w:rsidRDefault="00FA11C1" w:rsidP="00FA11C1">
      <w:pPr>
        <w:pStyle w:val="Legenda"/>
        <w:jc w:val="right"/>
        <w:rPr>
          <w:rFonts w:eastAsia="Calibri" w:cs="Calibri"/>
        </w:rPr>
      </w:pPr>
      <w:bookmarkStart w:id="7" w:name="_Toc212043430"/>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bookmarkEnd w:id="7"/>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493F8285" w:rsidR="4228CE0F" w:rsidRDefault="00FA11C1" w:rsidP="00FA11C1">
      <w:pPr>
        <w:pStyle w:val="Legenda"/>
        <w:jc w:val="right"/>
        <w:rPr>
          <w:rFonts w:eastAsia="Calibri" w:cs="Calibri"/>
        </w:rPr>
      </w:pPr>
      <w:bookmarkStart w:id="8" w:name="_Toc212043431"/>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bookmarkEnd w:id="8"/>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1BE0C10"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w:t>
      </w:r>
      <w:r w:rsidRPr="4228CE0F">
        <w:rPr>
          <w:rFonts w:eastAsia="Calibri" w:cs="Calibri"/>
        </w:rPr>
        <w:lastRenderedPageBreak/>
        <w:t>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427206">
            <w:rPr>
              <w:rFonts w:eastAsia="Calibri" w:cs="Calibri"/>
            </w:rPr>
            <w:instrText xml:space="preserve"> CITATION The251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(Thessaloniki)</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538D3CAB" w:rsidR="39EEA74D" w:rsidRDefault="00FA11C1" w:rsidP="00FA11C1">
      <w:pPr>
        <w:pStyle w:val="Legenda"/>
        <w:jc w:val="right"/>
        <w:rPr>
          <w:rFonts w:eastAsia="Calibri" w:cs="Calibri"/>
        </w:rPr>
      </w:pPr>
      <w:bookmarkStart w:id="9" w:name="_Toc212043432"/>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bookmarkEnd w:id="9"/>
    </w:p>
    <w:p w14:paraId="16733878" w14:textId="07F6422C" w:rsidR="4228CE0F" w:rsidRDefault="4228CE0F" w:rsidP="4228CE0F">
      <w:pPr>
        <w:rPr>
          <w:rFonts w:eastAsia="Calibri" w:cs="Calibri"/>
        </w:rPr>
      </w:pPr>
    </w:p>
    <w:p w14:paraId="25CCFAD2" w14:textId="4BECB8D7"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sidRPr="00D46172">
            <w:rPr>
              <w:rFonts w:eastAsia="Calibri" w:cs="Calibri"/>
              <w:noProof/>
              <w:szCs w:val="22"/>
            </w:rPr>
            <w:t>(Thessaloniki)</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2657E746" w:rsidR="6E5E5677" w:rsidRDefault="6E5E5677" w:rsidP="5BAF54ED">
      <w:r w:rsidRPr="5BAF54ED">
        <w:rPr>
          <w:rFonts w:eastAsia="Calibri" w:cs="Calibri"/>
          <w:szCs w:val="22"/>
        </w:rPr>
        <w:lastRenderedPageBreak/>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Pr>
              <w:rFonts w:eastAsia="Calibri" w:cs="Calibri"/>
              <w:noProof/>
              <w:szCs w:val="22"/>
            </w:rPr>
            <w:t xml:space="preserve"> </w:t>
          </w:r>
          <w:r w:rsidR="00D46172" w:rsidRPr="00D46172">
            <w:rPr>
              <w:rFonts w:eastAsia="Calibri" w:cs="Calibri"/>
              <w:noProof/>
              <w:szCs w:val="22"/>
            </w:rPr>
            <w:t>(Thessaloniki)</w:t>
          </w:r>
          <w:r w:rsidR="00D46172">
            <w:rPr>
              <w:rFonts w:eastAsia="Calibri" w:cs="Calibri"/>
              <w:szCs w:val="22"/>
            </w:rPr>
            <w:fldChar w:fldCharType="end"/>
          </w:r>
        </w:sdtContent>
      </w:sdt>
    </w:p>
    <w:p w14:paraId="31BE59F0" w14:textId="69E1922F" w:rsidR="6E5E5677" w:rsidRDefault="6E5E5677" w:rsidP="5BAF54ED">
      <w:r w:rsidRPr="5BAF54ED">
        <w:rPr>
          <w:rFonts w:eastAsia="Calibri" w:cs="Calibri"/>
          <w:szCs w:val="22"/>
        </w:rPr>
        <w:t xml:space="preserve"> </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0506AC52" w:rsidR="5BAF54ED" w:rsidRDefault="00FA11C1" w:rsidP="00FA11C1">
      <w:pPr>
        <w:pStyle w:val="Legenda"/>
        <w:jc w:val="right"/>
      </w:pPr>
      <w:bookmarkStart w:id="10" w:name="_Toc212043433"/>
      <w:r>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D46172">
            <w:instrText xml:space="preserve"> CITATION The252 \l 2070 </w:instrText>
          </w:r>
          <w:r w:rsidR="00D46172">
            <w:fldChar w:fldCharType="separate"/>
          </w:r>
          <w:r w:rsidR="00D46172">
            <w:rPr>
              <w:noProof/>
            </w:rPr>
            <w:t xml:space="preserve"> (Thessaloniki)</w:t>
          </w:r>
          <w:r w:rsidR="00D46172">
            <w:fldChar w:fldCharType="end"/>
          </w:r>
        </w:sdtContent>
      </w:sdt>
      <w:bookmarkEnd w:id="10"/>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11" w:name="_Toc212025364"/>
      <w:r>
        <w:lastRenderedPageBreak/>
        <w:t>I.2 Fontes de informação</w:t>
      </w:r>
      <w:bookmarkEnd w:id="11"/>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12" w:name="_Toc212025365"/>
      <w:r>
        <w:lastRenderedPageBreak/>
        <w:t>Parte II – Desenvolvimento</w:t>
      </w:r>
      <w:bookmarkEnd w:id="12"/>
    </w:p>
    <w:p w14:paraId="4423C59D" w14:textId="77777777" w:rsidR="008B0E11" w:rsidRDefault="008B0E11" w:rsidP="00B731BA"/>
    <w:p w14:paraId="60036711" w14:textId="310ACDD3" w:rsidR="00B731BA" w:rsidRDefault="5777556E" w:rsidP="00B731BA">
      <w:pPr>
        <w:pStyle w:val="Ttulo2"/>
      </w:pPr>
      <w:bookmarkStart w:id="13" w:name="_Toc212025366"/>
      <w:r>
        <w:t>II.</w:t>
      </w:r>
      <w:r w:rsidR="4A84B111">
        <w:t>1</w:t>
      </w:r>
      <w:r>
        <w:t xml:space="preserve"> </w:t>
      </w:r>
      <w:r w:rsidR="4A84B111">
        <w:t>Organização</w:t>
      </w:r>
      <w:bookmarkEnd w:id="13"/>
      <w:r w:rsidR="4A84B111">
        <w:t xml:space="preserve"> </w:t>
      </w:r>
    </w:p>
    <w:p w14:paraId="09C9A4D3" w14:textId="63F2A9D9" w:rsidR="00C62187" w:rsidRPr="00C62187" w:rsidRDefault="00C62187" w:rsidP="00C62187">
      <w:pPr>
        <w:rPr>
          <w:b/>
          <w:bCs/>
        </w:rPr>
      </w:pPr>
      <w:r w:rsidRPr="00C62187">
        <w:rPr>
          <w:b/>
          <w:bCs/>
        </w:rPr>
        <w:t xml:space="preserve">Estrutura do Porto de </w:t>
      </w:r>
      <w:proofErr w:type="spellStart"/>
      <w:r w:rsidRPr="00C62187">
        <w:rPr>
          <w:b/>
          <w:bCs/>
          <w:szCs w:val="22"/>
        </w:rPr>
        <w:t>Thessaloniki</w:t>
      </w:r>
      <w:proofErr w:type="spellEnd"/>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bookmarkStart w:id="14" w:name="_Toc212043434"/>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bookmarkEnd w:id="14"/>
    </w:p>
    <w:p w14:paraId="316B1BC0" w14:textId="23B9542D" w:rsidR="4228CE0F" w:rsidRDefault="4228CE0F" w:rsidP="4228CE0F">
      <w:pPr>
        <w:rPr>
          <w:szCs w:val="22"/>
        </w:rPr>
      </w:pPr>
    </w:p>
    <w:p w14:paraId="62004CC6" w14:textId="77777777"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57F67018" w14:textId="77777777"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Pr="002038D4" w:rsidRDefault="002038D4" w:rsidP="002038D4">
      <w:pPr>
        <w:rPr>
          <w:szCs w:val="22"/>
        </w:rPr>
      </w:pP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atividades de cais — não se encontra representada no diagrama formal, permanecendo implícita enquanto nível de execução.</w:t>
      </w:r>
    </w:p>
    <w:p w14:paraId="5239501C" w14:textId="77777777" w:rsidR="00842340" w:rsidRDefault="00842340" w:rsidP="4228CE0F">
      <w:pPr>
        <w:rPr>
          <w:szCs w:val="22"/>
        </w:rPr>
      </w:pPr>
    </w:p>
    <w:p w14:paraId="79198506" w14:textId="1FD7406B" w:rsidR="00842340" w:rsidRPr="00C62187" w:rsidRDefault="002038D4" w:rsidP="4228CE0F">
      <w:pPr>
        <w:rPr>
          <w:szCs w:val="22"/>
        </w:rPr>
      </w:pPr>
      <w:r>
        <w:rPr>
          <w:b/>
          <w:bCs/>
          <w:szCs w:val="22"/>
        </w:rPr>
        <w:t>Sugestões para melhoria da Organização</w:t>
      </w:r>
    </w:p>
    <w:p w14:paraId="1F392DCE" w14:textId="77777777"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3F76216C" w:rsidR="002038D4" w:rsidRDefault="002038D4" w:rsidP="002038D4">
      <w:pPr>
        <w:rPr>
          <w:szCs w:val="22"/>
        </w:rPr>
      </w:pPr>
      <w:r w:rsidRPr="002038D4">
        <w:rPr>
          <w:szCs w:val="22"/>
        </w:rPr>
        <w:br/>
      </w:r>
      <w:r w:rsidR="001C1921" w:rsidRPr="001C1921">
        <w:rPr>
          <w:szCs w:val="22"/>
        </w:rPr>
        <w:t xml:space="preserve">Apesar de a </w:t>
      </w:r>
      <w:proofErr w:type="spellStart"/>
      <w:r w:rsidR="001C1921" w:rsidRPr="001C1921">
        <w:rPr>
          <w:szCs w:val="22"/>
        </w:rPr>
        <w:t>ThPA</w:t>
      </w:r>
      <w:proofErr w:type="spellEnd"/>
      <w:r w:rsidR="001C1921"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687D16F9" w:rsidR="002038D4" w:rsidRDefault="002038D4" w:rsidP="002038D4">
      <w:pPr>
        <w:rPr>
          <w:szCs w:val="22"/>
        </w:rPr>
      </w:pPr>
      <w:r w:rsidRPr="002038D4">
        <w:rPr>
          <w:szCs w:val="22"/>
        </w:rPr>
        <w:b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DEA674C" w:rsidR="002038D4" w:rsidRDefault="002038D4" w:rsidP="002038D4">
      <w:pPr>
        <w:rPr>
          <w:szCs w:val="22"/>
        </w:rPr>
      </w:pPr>
      <w:r w:rsidRPr="002038D4">
        <w:rPr>
          <w:szCs w:val="22"/>
        </w:rPr>
        <w:br/>
        <w:t xml:space="preserve">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w:t>
      </w:r>
      <w:r w:rsidRPr="002038D4">
        <w:rPr>
          <w:szCs w:val="22"/>
        </w:rPr>
        <w:lastRenderedPageBreak/>
        <w:t>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5" w:name="_Toc212025367"/>
      <w:r>
        <w:t>II.</w:t>
      </w:r>
      <w:r w:rsidR="00AD196B">
        <w:t>2</w:t>
      </w:r>
      <w:r>
        <w:t xml:space="preserve"> </w:t>
      </w:r>
      <w:r w:rsidR="00AD196B">
        <w:t>Planeamento</w:t>
      </w:r>
      <w:bookmarkEnd w:id="15"/>
    </w:p>
    <w:p w14:paraId="11AEB85C" w14:textId="19CE6B5B" w:rsidR="006F6E41" w:rsidRPr="00AA4D06" w:rsidRDefault="00264EC4" w:rsidP="006F6E41">
      <w:pPr>
        <w:rPr>
          <w:b/>
          <w:bCs/>
        </w:rPr>
      </w:pPr>
      <w:r w:rsidRPr="00AA4D06">
        <w:rPr>
          <w:b/>
          <w:bCs/>
        </w:rPr>
        <w:t>Missão da Organização</w:t>
      </w:r>
    </w:p>
    <w:p w14:paraId="75C49C0B" w14:textId="41D31FE1"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1C2E1BF4" w14:textId="3DDBE1F3" w:rsidR="00D105FA" w:rsidRPr="00AA4D06" w:rsidRDefault="00D105FA" w:rsidP="006F6E41">
      <w:pPr>
        <w:rPr>
          <w:b/>
          <w:bCs/>
        </w:rPr>
      </w:pPr>
      <w:r w:rsidRPr="00AA4D06">
        <w:rPr>
          <w:b/>
          <w:bCs/>
        </w:rPr>
        <w:t>Visão da Organização</w:t>
      </w:r>
    </w:p>
    <w:p w14:paraId="03B45066" w14:textId="718E836A"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69890F3" w14:textId="1B909313" w:rsidR="00D9404D" w:rsidRPr="00D22AF9" w:rsidRDefault="00D105FA" w:rsidP="006F6E41">
      <w:pPr>
        <w:rPr>
          <w:b/>
          <w:bCs/>
        </w:rPr>
      </w:pPr>
      <w:r w:rsidRPr="00AA4D06">
        <w:rPr>
          <w:b/>
          <w:bCs/>
        </w:rPr>
        <w:t>Valores e Princípios</w:t>
      </w:r>
    </w:p>
    <w:p w14:paraId="6654B171" w14:textId="2C474994"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77777777" w:rsidR="001C1921" w:rsidRDefault="001C1921" w:rsidP="006F6E41"/>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019C7478" w14:textId="1AB24987" w:rsidR="0045284D" w:rsidRDefault="00FC2C28" w:rsidP="00C811F8">
      <w:pPr>
        <w:rPr>
          <w:b/>
          <w:bCs/>
        </w:rPr>
      </w:pPr>
      <w:r w:rsidRPr="00FC2C28">
        <w:rPr>
          <w:b/>
          <w:bCs/>
        </w:rPr>
        <w:t>Análise SWOT</w:t>
      </w:r>
    </w:p>
    <w:p w14:paraId="1AB66431" w14:textId="77777777" w:rsidR="00FC2C28" w:rsidRPr="00FC2C28" w:rsidRDefault="00FC2C28" w:rsidP="00FC2C28">
      <w:pPr>
        <w:jc w:val="left"/>
      </w:pPr>
      <w:r w:rsidRPr="00FC2C28">
        <w:t>Forças (</w:t>
      </w:r>
      <w:proofErr w:type="spellStart"/>
      <w:r w:rsidRPr="00FC2C28">
        <w:t>Strengths</w:t>
      </w:r>
      <w:proofErr w:type="spellEnd"/>
      <w:r w:rsidRPr="00FC2C28">
        <w:t>) – Internas</w:t>
      </w:r>
    </w:p>
    <w:p w14:paraId="622E6A4A" w14:textId="53ED888A" w:rsidR="00FC2C28" w:rsidRDefault="00A5511E" w:rsidP="00FC2C28">
      <w:pPr>
        <w:jc w:val="left"/>
      </w:pPr>
      <w:r w:rsidRPr="00A5511E">
        <w:t>S1. Localização geoestratégica no eixo do Mar Egeu, integrada nos corredores de transporte euro-asiáticos, facilitando o acesso a mercados do Sudeste Europeu e dos Balcãs.</w:t>
      </w:r>
      <w:r w:rsidR="00A00D11">
        <w:t xml:space="preserve"> (</w:t>
      </w:r>
      <w:r w:rsidR="00A00D11" w:rsidRPr="00A00D11">
        <w:t>VRIO – vantagem rara e difícil de imitar</w:t>
      </w:r>
      <w:r w:rsidR="00A00D11">
        <w:t>)</w:t>
      </w:r>
      <w:sdt>
        <w:sdtPr>
          <w:id w:val="-340550876"/>
          <w:citation/>
        </w:sdtPr>
        <w:sdtContent>
          <w:r>
            <w:fldChar w:fldCharType="begin"/>
          </w:r>
          <w:r>
            <w:instrText xml:space="preserve"> CITATION Fun \l 2070 </w:instrText>
          </w:r>
          <w:r>
            <w:fldChar w:fldCharType="separate"/>
          </w:r>
          <w:r>
            <w:rPr>
              <w:noProof/>
            </w:rPr>
            <w:t xml:space="preserve"> (Fund, s.d.)</w:t>
          </w:r>
          <w:r>
            <w:fldChar w:fldCharType="end"/>
          </w:r>
        </w:sdtContent>
      </w:sdt>
      <w:r w:rsidR="00FC2C28" w:rsidRPr="00FC2C28">
        <w:br/>
        <w:t>S</w:t>
      </w:r>
      <w:r w:rsidR="00B92C9D">
        <w:t>2</w:t>
      </w:r>
      <w:r w:rsidR="00FC2C28" w:rsidRPr="00FC2C28">
        <w:t>. Conectividade intermodal (ferrovia e rodovia), favorecendo o transporte terrestre e a integração na cadeia logística regional.</w:t>
      </w:r>
      <w:r w:rsidR="00A00D11">
        <w:t xml:space="preserve"> (</w:t>
      </w:r>
      <w:proofErr w:type="spellStart"/>
      <w:r w:rsidR="00A00D11" w:rsidRPr="00A00D11">
        <w:t>Porter</w:t>
      </w:r>
      <w:proofErr w:type="spellEnd"/>
      <w:r w:rsidR="00A00D11" w:rsidRPr="00A00D11">
        <w:t xml:space="preserve"> – vantagem competitiva de acesso</w:t>
      </w:r>
      <w:r w:rsidR="00A00D11">
        <w:t>)</w:t>
      </w:r>
      <w:sdt>
        <w:sdtPr>
          <w:id w:val="-1197933604"/>
          <w:citation/>
        </w:sdtPr>
        <w:sdtContent>
          <w:r>
            <w:fldChar w:fldCharType="begin"/>
          </w:r>
          <w:r>
            <w:instrText xml:space="preserve"> CITATION The252 \l 2070 </w:instrText>
          </w:r>
          <w:r>
            <w:fldChar w:fldCharType="separate"/>
          </w:r>
          <w:r>
            <w:rPr>
              <w:noProof/>
            </w:rPr>
            <w:t xml:space="preserve"> (Thessaloniki)</w:t>
          </w:r>
          <w:r>
            <w:fldChar w:fldCharType="end"/>
          </w:r>
        </w:sdtContent>
      </w:sdt>
      <w:r w:rsidR="00FC2C28" w:rsidRPr="00FC2C28">
        <w:br/>
        <w:t>S</w:t>
      </w:r>
      <w:r w:rsidR="00B92C9D">
        <w:t>3</w:t>
      </w:r>
      <w:r w:rsidR="00FC2C28" w:rsidRPr="00FC2C28">
        <w:t>. Reconhecimento como porto de entrada para os mercados balcânicos, garantindo uma posição estratégica no comércio regional.</w:t>
      </w:r>
      <w:r w:rsidR="00A00D11">
        <w:t xml:space="preserve"> (</w:t>
      </w:r>
      <w:proofErr w:type="spellStart"/>
      <w:r w:rsidR="00A00D11" w:rsidRPr="00A00D11">
        <w:t>Porter</w:t>
      </w:r>
      <w:proofErr w:type="spellEnd"/>
      <w:r w:rsidR="00A00D11" w:rsidRPr="00A00D11">
        <w:t xml:space="preserve"> – vantagem de localização</w:t>
      </w:r>
      <w:r w:rsidR="00A00D11">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r w:rsidR="00FC2C28" w:rsidRPr="00FC2C28">
        <w:br/>
      </w:r>
    </w:p>
    <w:p w14:paraId="5941E153" w14:textId="77777777" w:rsidR="00FC2C28" w:rsidRPr="00FC2C28" w:rsidRDefault="00FC2C28" w:rsidP="00FC2C28">
      <w:pPr>
        <w:jc w:val="left"/>
      </w:pPr>
    </w:p>
    <w:p w14:paraId="73FC948B" w14:textId="77777777" w:rsidR="00FC2C28" w:rsidRPr="00FC2C28" w:rsidRDefault="00FC2C28" w:rsidP="00FC2C28">
      <w:pPr>
        <w:jc w:val="left"/>
      </w:pPr>
      <w:r w:rsidRPr="00FC2C28">
        <w:t>Fraquezas (</w:t>
      </w:r>
      <w:proofErr w:type="spellStart"/>
      <w:r w:rsidRPr="00FC2C28">
        <w:t>Weaknesses</w:t>
      </w:r>
      <w:proofErr w:type="spellEnd"/>
      <w:r w:rsidRPr="00FC2C28">
        <w:t>) – Internas</w:t>
      </w:r>
    </w:p>
    <w:p w14:paraId="3BDB9DCB" w14:textId="62592A97" w:rsidR="00FC2C28" w:rsidRPr="00FC2C28" w:rsidRDefault="00FC2C28" w:rsidP="00FC2C28">
      <w:pPr>
        <w:jc w:val="left"/>
      </w:pPr>
      <w:r w:rsidRPr="00FC2C28">
        <w:t>W1. Burocracia administrativa e processos internos complexos, que podem gerar lentidão na tomada de decisão e atrasos operacionais.</w:t>
      </w:r>
      <w:r w:rsidR="00A00D11">
        <w:t xml:space="preserve"> (</w:t>
      </w:r>
      <w:proofErr w:type="spellStart"/>
      <w:r w:rsidR="00A00D11" w:rsidRPr="00A00D11">
        <w:t>Value</w:t>
      </w:r>
      <w:proofErr w:type="spellEnd"/>
      <w:r w:rsidR="00A00D11" w:rsidRPr="00A00D11">
        <w:t xml:space="preserve"> </w:t>
      </w:r>
      <w:proofErr w:type="spellStart"/>
      <w:r w:rsidR="00A00D11" w:rsidRPr="00A00D11">
        <w:t>Chain</w:t>
      </w:r>
      <w:proofErr w:type="spellEnd"/>
      <w:r w:rsidR="00A00D11" w:rsidRPr="00A00D11">
        <w:t xml:space="preserve"> – ineficiências nos processos internos</w:t>
      </w:r>
      <w:r w:rsidR="00A00D11">
        <w:t>)</w:t>
      </w:r>
      <w:sdt>
        <w:sdtPr>
          <w:id w:val="1457057988"/>
          <w:citation/>
        </w:sdtPr>
        <w:sdtContent>
          <w:r w:rsidR="00DC2B62">
            <w:fldChar w:fldCharType="begin"/>
          </w:r>
          <w:r w:rsidR="00DC2B62">
            <w:instrText xml:space="preserve"> CITATION Rep25 \l 2070 </w:instrText>
          </w:r>
          <w:r w:rsidR="00DC2B62">
            <w:fldChar w:fldCharType="separate"/>
          </w:r>
          <w:r w:rsidR="00DC2B62">
            <w:rPr>
              <w:noProof/>
            </w:rPr>
            <w:t xml:space="preserve"> (Repository, s.d.)</w:t>
          </w:r>
          <w:r w:rsidR="00DC2B62">
            <w:fldChar w:fldCharType="end"/>
          </w:r>
        </w:sdtContent>
      </w:sdt>
      <w:r w:rsidRPr="00FC2C28">
        <w:br/>
      </w:r>
      <w:r w:rsidR="00DC2B62" w:rsidRPr="00DC2B62">
        <w:t>W2. Dependência de cofinanciamento público e de parcerias privadas para projetos de modernização e expansão, refletindo uma autonomia financeira limitada em grandes investimentos.</w:t>
      </w:r>
      <w:r w:rsidR="00A00D11">
        <w:t xml:space="preserve"> (</w:t>
      </w:r>
      <w:r w:rsidR="00A00D11" w:rsidRPr="00A00D11">
        <w:t>PESTEL – dependência económica e política</w:t>
      </w:r>
      <w:r w:rsidR="00A00D11">
        <w:t>)</w:t>
      </w:r>
      <w:sdt>
        <w:sdtPr>
          <w:id w:val="-1948070554"/>
          <w:citation/>
        </w:sdtPr>
        <w:sdtContent>
          <w:r w:rsidR="00DC2B62">
            <w:fldChar w:fldCharType="begin"/>
          </w:r>
          <w:r w:rsidR="00DC2B62">
            <w:instrText xml:space="preserve"> CITATION The255 \l 2070 </w:instrText>
          </w:r>
          <w:r w:rsidR="00DC2B62">
            <w:fldChar w:fldCharType="separate"/>
          </w:r>
          <w:r w:rsidR="00DC2B62">
            <w:rPr>
              <w:noProof/>
            </w:rPr>
            <w:t xml:space="preserve"> (Thessaloniki, s.d.)</w:t>
          </w:r>
          <w:r w:rsidR="00DC2B62">
            <w:fldChar w:fldCharType="end"/>
          </w:r>
        </w:sdtContent>
      </w:sdt>
      <w:r w:rsidRPr="00FC2C28">
        <w:br/>
      </w:r>
      <w:r w:rsidR="00DC2B62" w:rsidRPr="00DC2B62">
        <w:lastRenderedPageBreak/>
        <w:t>W3. Necessidade de acelerar a digitalização e integração de sistemas portuários, uma vez que os atuais processos e infraestruturas ainda enfrentam limitações administrativas e operacionais.</w:t>
      </w:r>
      <w:r w:rsidR="00A00D11">
        <w:t xml:space="preserve"> (</w:t>
      </w:r>
      <w:proofErr w:type="spellStart"/>
      <w:r w:rsidR="00A00D11" w:rsidRPr="00A00D11">
        <w:t>Value</w:t>
      </w:r>
      <w:proofErr w:type="spellEnd"/>
      <w:r w:rsidR="00A00D11" w:rsidRPr="00A00D11">
        <w:t xml:space="preserve"> </w:t>
      </w:r>
      <w:proofErr w:type="spellStart"/>
      <w:r w:rsidR="00A00D11" w:rsidRPr="00A00D11">
        <w:t>Chain</w:t>
      </w:r>
      <w:proofErr w:type="spellEnd"/>
      <w:r w:rsidR="00A00D11" w:rsidRPr="00A00D11">
        <w:t xml:space="preserve"> – limitação tecnológica</w:t>
      </w:r>
      <w:r w:rsidR="00A00D11">
        <w:t>)</w:t>
      </w:r>
      <w:sdt>
        <w:sdtPr>
          <w:id w:val="-975838392"/>
          <w:citation/>
        </w:sdtPr>
        <w:sdtContent>
          <w:r w:rsidR="00FE54DD">
            <w:fldChar w:fldCharType="begin"/>
          </w:r>
          <w:r w:rsidR="00FE54DD">
            <w:instrText xml:space="preserve"> CITATION Par25 \l 2070 </w:instrText>
          </w:r>
          <w:r w:rsidR="00FE54DD">
            <w:fldChar w:fldCharType="separate"/>
          </w:r>
          <w:r w:rsidR="00FE54DD">
            <w:rPr>
              <w:noProof/>
            </w:rPr>
            <w:t xml:space="preserve"> (Parliament, s.d.)</w:t>
          </w:r>
          <w:r w:rsidR="00FE54DD">
            <w:fldChar w:fldCharType="end"/>
          </w:r>
        </w:sdtContent>
      </w:sdt>
    </w:p>
    <w:p w14:paraId="734153FA" w14:textId="4F6E081D" w:rsidR="00FC2C28" w:rsidRPr="00FC2C28" w:rsidRDefault="00FC2C28" w:rsidP="00FC2C28">
      <w:pPr>
        <w:jc w:val="left"/>
      </w:pPr>
    </w:p>
    <w:p w14:paraId="1ED7C6ED" w14:textId="14D4702A" w:rsidR="00FC2C28" w:rsidRPr="00FC2C28" w:rsidRDefault="00FC2C28" w:rsidP="00FC2C28">
      <w:pPr>
        <w:jc w:val="left"/>
      </w:pPr>
      <w:r w:rsidRPr="00FC2C28">
        <w:t>Oportunidades (</w:t>
      </w:r>
      <w:proofErr w:type="spellStart"/>
      <w:r w:rsidRPr="00FC2C28">
        <w:t>Opportunities</w:t>
      </w:r>
      <w:proofErr w:type="spellEnd"/>
      <w:r w:rsidRPr="00FC2C28">
        <w:t>) – Externas</w:t>
      </w:r>
      <w:r w:rsidRPr="00FC2C28">
        <w:br/>
        <w:t>O</w:t>
      </w:r>
      <w:r w:rsidR="004B72C6">
        <w:t>1</w:t>
      </w:r>
      <w:r w:rsidRPr="00FC2C28">
        <w:t>. Expansão do comércio regional e integração nos corredores logísticos euro-asiáticos, potenciando fluxos de carga em trânsito.</w:t>
      </w:r>
      <w:r w:rsidR="00A00D11">
        <w:t xml:space="preserve"> (</w:t>
      </w:r>
      <w:proofErr w:type="spellStart"/>
      <w:r w:rsidR="00A00D11" w:rsidRPr="00A00D11">
        <w:t>Porter</w:t>
      </w:r>
      <w:proofErr w:type="spellEnd"/>
      <w:r w:rsidR="00A00D11" w:rsidRPr="00A00D11">
        <w:t xml:space="preserve"> – crescimento do mercado</w:t>
      </w:r>
      <w:r w:rsidR="00A00D11">
        <w:t>)</w:t>
      </w:r>
      <w:sdt>
        <w:sdtPr>
          <w:id w:val="-1404671887"/>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2.</w:t>
      </w:r>
      <w:r w:rsidRPr="00FC2C28">
        <w:t xml:space="preserve"> Crescente exigência de sustentabilidade ambiental na UE, que pode gerar vantagem competitiva para portos verdes e </w:t>
      </w:r>
      <w:proofErr w:type="spellStart"/>
      <w:r w:rsidRPr="00FC2C28">
        <w:t>eco</w:t>
      </w:r>
      <w:r w:rsidR="00FE54DD">
        <w:t>-</w:t>
      </w:r>
      <w:r w:rsidRPr="00FC2C28">
        <w:t>eficientes</w:t>
      </w:r>
      <w:proofErr w:type="spellEnd"/>
      <w:r w:rsidRPr="00FC2C28">
        <w:t>.</w:t>
      </w:r>
      <w:r w:rsidR="00A00D11">
        <w:t xml:space="preserve"> (</w:t>
      </w:r>
      <w:r w:rsidR="00A00D11" w:rsidRPr="00A00D11">
        <w:t>PESTEL – fator ambiental</w:t>
      </w:r>
      <w:r w:rsidR="00A00D11">
        <w:t>)</w:t>
      </w:r>
      <w:sdt>
        <w:sdtPr>
          <w:id w:val="1556356171"/>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3</w:t>
      </w:r>
      <w:r w:rsidRPr="00FC2C28">
        <w:t>. 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rsidR="00A00D11">
        <w:t xml:space="preserve"> (</w:t>
      </w:r>
      <w:r w:rsidR="00A00D11" w:rsidRPr="00A00D11">
        <w:t>VRIO – recurso tecnológico valioso e imitável com dificuldade</w:t>
      </w:r>
      <w:r w:rsidR="00A00D11">
        <w:t>)</w:t>
      </w:r>
      <w:sdt>
        <w:sdtPr>
          <w:id w:val="1373347990"/>
          <w:citation/>
        </w:sdtPr>
        <w:sdtContent>
          <w:r w:rsidR="00FE54DD">
            <w:fldChar w:fldCharType="begin"/>
          </w:r>
          <w:r w:rsidR="00FE54DD">
            <w:instrText xml:space="preserve"> CITATION The256 \l 2070 </w:instrText>
          </w:r>
          <w:r w:rsidR="00FE54DD">
            <w:fldChar w:fldCharType="separate"/>
          </w:r>
          <w:r w:rsidR="00FE54DD">
            <w:rPr>
              <w:noProof/>
            </w:rPr>
            <w:t xml:space="preserve"> (Thessaloniki, s.d.)</w:t>
          </w:r>
          <w:r w:rsidR="00FE54DD">
            <w:fldChar w:fldCharType="end"/>
          </w:r>
        </w:sdtContent>
      </w:sdt>
    </w:p>
    <w:p w14:paraId="56F742DF" w14:textId="4B3A2E01" w:rsidR="00FC2C28" w:rsidRPr="00FC2C28" w:rsidRDefault="00FC2C28" w:rsidP="00FC2C28">
      <w:pPr>
        <w:jc w:val="left"/>
      </w:pPr>
    </w:p>
    <w:p w14:paraId="66CD3781" w14:textId="77777777" w:rsidR="00FC2C28" w:rsidRPr="00FC2C28" w:rsidRDefault="00FC2C28" w:rsidP="00FC2C28">
      <w:pPr>
        <w:jc w:val="left"/>
      </w:pPr>
      <w:r w:rsidRPr="00FC2C28">
        <w:t>Ameaças (</w:t>
      </w:r>
      <w:proofErr w:type="spellStart"/>
      <w:r w:rsidRPr="00FC2C28">
        <w:t>Threats</w:t>
      </w:r>
      <w:proofErr w:type="spellEnd"/>
      <w:r w:rsidRPr="00FC2C28">
        <w:t>) – Externas</w:t>
      </w:r>
    </w:p>
    <w:p w14:paraId="69D74F8A" w14:textId="74C5F2D1" w:rsidR="00FC2C28" w:rsidRDefault="00FC2C28" w:rsidP="00FC2C28">
      <w:pPr>
        <w:jc w:val="left"/>
      </w:pPr>
      <w:r w:rsidRPr="00FC2C28">
        <w:t>T1. Forte concorrência de portos mediterrânicos, como o Porto de Pireu (Grécia) e Trieste (Itália), com maior capacidade e investimento.</w:t>
      </w:r>
      <w:r w:rsidR="00A00D11">
        <w:t xml:space="preserve"> (</w:t>
      </w:r>
      <w:proofErr w:type="spellStart"/>
      <w:r w:rsidR="00A00D11" w:rsidRPr="00A00D11">
        <w:t>Porter</w:t>
      </w:r>
      <w:proofErr w:type="spellEnd"/>
      <w:r w:rsidR="00A00D11" w:rsidRPr="00A00D11">
        <w:t xml:space="preserve"> – rivalidade entre concorrentes diretos</w:t>
      </w:r>
      <w:r w:rsidR="00A00D11">
        <w:t>)</w:t>
      </w:r>
      <w:sdt>
        <w:sdtPr>
          <w:id w:val="-458183391"/>
          <w:citation/>
        </w:sdtPr>
        <w:sdtContent>
          <w:r w:rsidR="006218CD">
            <w:fldChar w:fldCharType="begin"/>
          </w:r>
          <w:r w:rsidR="006218CD">
            <w:instrText xml:space="preserve"> CITATION Org25 \l 2070 </w:instrText>
          </w:r>
          <w:r w:rsidR="006218CD">
            <w:fldChar w:fldCharType="separate"/>
          </w:r>
          <w:r w:rsidR="006218CD">
            <w:rPr>
              <w:noProof/>
            </w:rPr>
            <w:t xml:space="preserve"> (Organization, s.d.)</w:t>
          </w:r>
          <w:r w:rsidR="006218CD">
            <w:fldChar w:fldCharType="end"/>
          </w:r>
        </w:sdtContent>
      </w:sdt>
      <w:r w:rsidRPr="00FC2C28">
        <w:br/>
        <w:t>T2. Instabilidade geopolítica na região do Mar Egeu e dos Balcãs, que pode afetar rotas comerciais e fluxos internacionais.</w:t>
      </w:r>
      <w:r w:rsidR="00A00D11">
        <w:t xml:space="preserve"> (</w:t>
      </w:r>
      <w:r w:rsidR="00A00D11" w:rsidRPr="00A00D11">
        <w:t>PESTEL – fatores políticos e de segurança</w:t>
      </w:r>
      <w:r w:rsidR="00A00D11">
        <w:t>)</w:t>
      </w:r>
      <w:sdt>
        <w:sdtPr>
          <w:id w:val="-1929653754"/>
          <w:citation/>
        </w:sdtPr>
        <w:sdtContent>
          <w:r w:rsidR="006218CD">
            <w:fldChar w:fldCharType="begin"/>
          </w:r>
          <w:r w:rsidR="006218CD">
            <w:instrText xml:space="preserve"> CITATION Gro25 \l 2070 </w:instrText>
          </w:r>
          <w:r w:rsidR="006218CD">
            <w:fldChar w:fldCharType="separate"/>
          </w:r>
          <w:r w:rsidR="006218CD">
            <w:rPr>
              <w:noProof/>
            </w:rPr>
            <w:t xml:space="preserve"> (Group)</w:t>
          </w:r>
          <w:r w:rsidR="006218CD">
            <w:fldChar w:fldCharType="end"/>
          </w:r>
        </w:sdtContent>
      </w:sdt>
      <w:r w:rsidRPr="00FC2C28">
        <w:br/>
        <w:t>T3. Aumento das regulamentações ambientais e fiscais, impondo custos adicionais às operações portuárias.</w:t>
      </w:r>
      <w:r w:rsidR="00A00D11">
        <w:t xml:space="preserve"> (</w:t>
      </w:r>
      <w:r w:rsidR="00A00D11" w:rsidRPr="00A00D11">
        <w:t>PESTEL – fatores legais e ambientais</w:t>
      </w:r>
      <w:r w:rsidR="00A00D11">
        <w:t>)</w:t>
      </w:r>
      <w:sdt>
        <w:sdtPr>
          <w:id w:val="2064063745"/>
          <w:citation/>
        </w:sdtPr>
        <w:sdtContent>
          <w:r w:rsidR="001E79FC">
            <w:fldChar w:fldCharType="begin"/>
          </w:r>
          <w:r w:rsidR="001E79FC">
            <w:instrText xml:space="preserve"> CITATION The257 \l 2070 </w:instrText>
          </w:r>
          <w:r w:rsidR="001E79FC">
            <w:fldChar w:fldCharType="separate"/>
          </w:r>
          <w:r w:rsidR="001E79FC">
            <w:rPr>
              <w:noProof/>
            </w:rPr>
            <w:t xml:space="preserve"> (Thessaloniki, s.d.)</w:t>
          </w:r>
          <w:r w:rsidR="001E79FC">
            <w:fldChar w:fldCharType="end"/>
          </w:r>
        </w:sdtContent>
      </w:sdt>
    </w:p>
    <w:p w14:paraId="10A5C9F3" w14:textId="77777777" w:rsidR="00B92C9D" w:rsidRDefault="00B92C9D" w:rsidP="00FC2C28">
      <w:pPr>
        <w:jc w:val="left"/>
      </w:pPr>
    </w:p>
    <w:p w14:paraId="5ED298B6" w14:textId="2D48F744"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C433E44" w14:textId="77777777" w:rsidR="00E66697" w:rsidRPr="00E66697" w:rsidRDefault="00E66697" w:rsidP="00E66697">
      <w:pPr>
        <w:jc w:val="left"/>
        <w:rPr>
          <w:b/>
          <w:bCs/>
        </w:rPr>
      </w:pPr>
      <w:r w:rsidRPr="00E66697">
        <w:rPr>
          <w:b/>
          <w:bCs/>
        </w:rPr>
        <w:lastRenderedPageBreak/>
        <w:t>Estratégia Proposta</w:t>
      </w:r>
    </w:p>
    <w:p w14:paraId="0AB85CD8" w14:textId="5EA05B9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6" w:name="_Toc212025368"/>
      <w:r>
        <w:t>II.</w:t>
      </w:r>
      <w:r w:rsidR="00AD196B">
        <w:t>3</w:t>
      </w:r>
      <w:r>
        <w:t xml:space="preserve"> Controlo</w:t>
      </w:r>
      <w:r w:rsidR="00A23FD3">
        <w:t xml:space="preserve"> e Sistemas de informação</w:t>
      </w:r>
      <w:bookmarkEnd w:id="16"/>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7"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7"/>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8" w:name="_Toc212025370"/>
      <w:r>
        <w:t>II.5 Promoção da produtividade</w:t>
      </w:r>
      <w:bookmarkEnd w:id="18"/>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9" w:name="_Toc212025371"/>
      <w:r>
        <w:t>II.6 Economia circular</w:t>
      </w:r>
      <w:bookmarkEnd w:id="19"/>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20" w:name="_Toc212025372"/>
      <w:r>
        <w:t xml:space="preserve">II.7 </w:t>
      </w:r>
      <w:r w:rsidRPr="00CE43A7">
        <w:t>Marketing</w:t>
      </w:r>
      <w:bookmarkEnd w:id="20"/>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21" w:name="_Toc212025373"/>
      <w:r>
        <w:t>II.</w:t>
      </w:r>
      <w:r w:rsidR="00CA01E1" w:rsidRPr="00CA01E1">
        <w:t xml:space="preserve"> </w:t>
      </w:r>
      <w:r w:rsidR="00AD196B">
        <w:t>8</w:t>
      </w:r>
      <w:r w:rsidR="00CA01E1">
        <w:t xml:space="preserve"> </w:t>
      </w:r>
      <w:r w:rsidR="00A23FD3">
        <w:t xml:space="preserve">Gestão </w:t>
      </w:r>
      <w:r w:rsidR="00CA01E1">
        <w:t>Financeira</w:t>
      </w:r>
      <w:bookmarkEnd w:id="21"/>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22" w:name="_Toc212025374"/>
      <w:r>
        <w:t>II.</w:t>
      </w:r>
      <w:r w:rsidR="00AD196B">
        <w:t>9</w:t>
      </w:r>
      <w:r>
        <w:t xml:space="preserve"> </w:t>
      </w:r>
      <w:r w:rsidR="00A23FD3">
        <w:t>Gestão das Operações</w:t>
      </w:r>
      <w:r w:rsidR="008B0E11">
        <w:t xml:space="preserve"> e Indústria 4.0</w:t>
      </w:r>
      <w:bookmarkEnd w:id="22"/>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23" w:name="_Toc212025375"/>
      <w:r w:rsidRPr="00B731BA">
        <w:t>Parte III – Conclusão</w:t>
      </w:r>
      <w:bookmarkEnd w:id="23"/>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24" w:name="_Toc212025376"/>
      <w:r>
        <w:t>III.1 Conclusão</w:t>
      </w:r>
      <w:bookmarkEnd w:id="24"/>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5" w:name="_Toc212025377"/>
      <w:r>
        <w:t>III.2 Sugestões de melhoria</w:t>
      </w:r>
      <w:bookmarkEnd w:id="25"/>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6" w:name="_Toc471979356"/>
      <w:bookmarkStart w:id="27" w:name="_Toc212025378"/>
      <w:r w:rsidR="00E16B5D" w:rsidRPr="00B731BA">
        <w:lastRenderedPageBreak/>
        <w:t>Referências</w:t>
      </w:r>
      <w:bookmarkEnd w:id="26"/>
      <w:bookmarkEnd w:id="27"/>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8" w:name="_Toc471979357"/>
      <w:bookmarkStart w:id="29" w:name="_Toc212025379"/>
      <w:r w:rsidRPr="00B731BA">
        <w:rPr>
          <w:rFonts w:eastAsia="Arial Narrow"/>
        </w:rPr>
        <w:t>Anexos</w:t>
      </w:r>
      <w:bookmarkEnd w:id="28"/>
      <w:bookmarkEnd w:id="29"/>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pPr>
      <w:hyperlink r:id="rId21" w:history="1">
        <w:r w:rsidRPr="005B7718">
          <w:rPr>
            <w:rStyle w:val="Hiperligao"/>
            <w:rFonts w:eastAsia="Arial Narrow"/>
          </w:rPr>
          <w:t>https://www.thpa.gr/our-vision</w:t>
        </w:r>
      </w:hyperlink>
    </w:p>
    <w:p w14:paraId="618025EE" w14:textId="652A3448" w:rsidR="00473C55" w:rsidRDefault="00473C55" w:rsidP="00C71078">
      <w:pPr>
        <w:pStyle w:val="BodyText1"/>
        <w:rPr>
          <w:rFonts w:eastAsia="Arial Narrow"/>
        </w:rPr>
      </w:pPr>
      <w:hyperlink r:id="rId22" w:history="1">
        <w:r w:rsidRPr="009E6A89">
          <w:rPr>
            <w:rStyle w:val="Hiperligao"/>
            <w:rFonts w:eastAsia="Arial Narrow"/>
          </w:rPr>
          <w:t>https://www.espo.be</w:t>
        </w:r>
      </w:hyperlink>
    </w:p>
    <w:p w14:paraId="20DD15F0" w14:textId="541106A5" w:rsidR="00473C55" w:rsidRDefault="00473C55" w:rsidP="00C71078">
      <w:pPr>
        <w:pStyle w:val="BodyText1"/>
        <w:rPr>
          <w:rFonts w:eastAsia="Arial Narrow"/>
        </w:rPr>
      </w:pPr>
      <w:hyperlink r:id="rId23" w:history="1">
        <w:r w:rsidRPr="009E6A89">
          <w:rPr>
            <w:rStyle w:val="Hiperligao"/>
            <w:rFonts w:eastAsia="Arial Narrow"/>
          </w:rPr>
          <w:t>https://www.porteconomics.eu/calls-connectivity-liners-and-alliances-at-thessaloniki-container-port</w:t>
        </w:r>
      </w:hyperlink>
    </w:p>
    <w:p w14:paraId="38D05A57" w14:textId="3CF89EC3" w:rsidR="00473C55" w:rsidRDefault="00473C55" w:rsidP="00C71078">
      <w:pPr>
        <w:pStyle w:val="BodyText1"/>
        <w:rPr>
          <w:rFonts w:eastAsia="Arial Narrow"/>
        </w:rPr>
      </w:pPr>
      <w:hyperlink r:id="rId24" w:history="1">
        <w:r w:rsidRPr="009E6A89">
          <w:rPr>
            <w:rStyle w:val="Hiperligao"/>
            <w:rFonts w:eastAsia="Arial Narrow"/>
          </w:rPr>
          <w:t>https://www.lloydslist.com</w:t>
        </w:r>
      </w:hyperlink>
    </w:p>
    <w:p w14:paraId="3CDD3CB1" w14:textId="7FE9D333" w:rsidR="00473C55" w:rsidRDefault="00473C55" w:rsidP="00C71078">
      <w:pPr>
        <w:pStyle w:val="BodyText1"/>
        <w:rPr>
          <w:rFonts w:eastAsia="Arial Narrow"/>
        </w:rPr>
      </w:pPr>
      <w:hyperlink r:id="rId25" w:history="1">
        <w:r w:rsidRPr="009E6A89">
          <w:rPr>
            <w:rStyle w:val="Hiperligao"/>
            <w:rFonts w:eastAsia="Arial Narrow"/>
          </w:rPr>
          <w:t>https://www.oecd.org/en/publications/market-access-trade-in-transport-services-and-trade-facilitation_9789282101476-en.html</w:t>
        </w:r>
      </w:hyperlink>
    </w:p>
    <w:p w14:paraId="484A8A6C" w14:textId="16406F9D" w:rsidR="00473C55" w:rsidRDefault="00473C55" w:rsidP="00C71078">
      <w:pPr>
        <w:pStyle w:val="BodyText1"/>
        <w:rPr>
          <w:rFonts w:eastAsia="Arial Narrow"/>
        </w:rPr>
      </w:pPr>
      <w:hyperlink r:id="rId26" w:history="1">
        <w:r w:rsidRPr="009E6A89">
          <w:rPr>
            <w:rStyle w:val="Hiperligao"/>
            <w:rFonts w:eastAsia="Arial Narrow"/>
          </w:rPr>
          <w:t>https://transport.ec.europa.eu/index_en</w:t>
        </w:r>
      </w:hyperlink>
    </w:p>
    <w:p w14:paraId="707984E0" w14:textId="45F0A869" w:rsidR="00473C55" w:rsidRDefault="004B72C6" w:rsidP="00C71078">
      <w:pPr>
        <w:pStyle w:val="BodyText1"/>
        <w:rPr>
          <w:rFonts w:eastAsia="Arial Narrow"/>
        </w:rPr>
      </w:pPr>
      <w:hyperlink r:id="rId27" w:history="1">
        <w:r w:rsidRPr="009E6A89">
          <w:rPr>
            <w:rStyle w:val="Hiperligao"/>
            <w:rFonts w:eastAsia="Arial Narrow"/>
          </w:rPr>
          <w:t>https://commission.europa.eu/strategy-and-policy/priorities-2019-2024/european-green-deal_en</w:t>
        </w:r>
      </w:hyperlink>
    </w:p>
    <w:p w14:paraId="4C4C6357" w14:textId="6E4BCD1B" w:rsidR="004B72C6" w:rsidRDefault="004B72C6" w:rsidP="00C71078">
      <w:pPr>
        <w:pStyle w:val="BodyText1"/>
      </w:pPr>
      <w:hyperlink r:id="rId28" w:history="1">
        <w:r w:rsidRPr="009E6A89">
          <w:rPr>
            <w:rStyle w:val="Hiperligao"/>
            <w:rFonts w:eastAsia="Arial Narrow"/>
          </w:rPr>
          <w:t>https://transport.ec.europa.eu/transport-themes/infrastructure-and-investment/trans-european-transport-network-ten-t_en</w:t>
        </w:r>
      </w:hyperlink>
    </w:p>
    <w:p w14:paraId="40C2DF27" w14:textId="62DC267C" w:rsidR="001456B2" w:rsidRDefault="001456B2" w:rsidP="00C71078">
      <w:pPr>
        <w:pStyle w:val="BodyText1"/>
        <w:rPr>
          <w:rFonts w:eastAsia="Arial Narrow"/>
        </w:rPr>
      </w:pPr>
      <w:hyperlink r:id="rId29" w:history="1">
        <w:r w:rsidRPr="00E92693">
          <w:rPr>
            <w:rStyle w:val="Hiperligao"/>
            <w:rFonts w:eastAsia="Arial Narrow"/>
          </w:rPr>
          <w:t>https://www.porttechnology.org/news/thessaloniki-port-reports-record-e100-million-revenue-in-2024</w:t>
        </w:r>
      </w:hyperlink>
    </w:p>
    <w:p w14:paraId="0B4AF07C" w14:textId="1A06CA48" w:rsidR="00EB7E77" w:rsidRDefault="00EB7E77" w:rsidP="00C71078">
      <w:pPr>
        <w:pStyle w:val="BodyText1"/>
        <w:rPr>
          <w:rFonts w:eastAsia="Arial Narrow"/>
        </w:rPr>
      </w:pPr>
      <w:hyperlink r:id="rId30" w:history="1">
        <w:r w:rsidRPr="00E92693">
          <w:rPr>
            <w:rStyle w:val="Hiperligao"/>
            <w:rFonts w:eastAsia="Arial Narrow"/>
          </w:rPr>
          <w:t>https://www.thpa.gr/files/financial/aok_31122023_en.pdf?x84359</w:t>
        </w:r>
      </w:hyperlink>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31"/>
      <w:footerReference w:type="default" r:id="rId3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F04F5" w14:textId="77777777" w:rsidR="00236C2C" w:rsidRDefault="00236C2C">
      <w:r>
        <w:separator/>
      </w:r>
    </w:p>
  </w:endnote>
  <w:endnote w:type="continuationSeparator" w:id="0">
    <w:p w14:paraId="74FB546F" w14:textId="77777777" w:rsidR="00236C2C" w:rsidRDefault="00236C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226E4" w14:textId="77777777" w:rsidR="00236C2C" w:rsidRDefault="00236C2C">
      <w:r>
        <w:separator/>
      </w:r>
    </w:p>
  </w:footnote>
  <w:footnote w:type="continuationSeparator" w:id="0">
    <w:p w14:paraId="42802EDC" w14:textId="77777777" w:rsidR="00236C2C" w:rsidRDefault="00236C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A05E7"/>
    <w:rsid w:val="000C5D3E"/>
    <w:rsid w:val="000E46E0"/>
    <w:rsid w:val="000E55CE"/>
    <w:rsid w:val="000E5AAD"/>
    <w:rsid w:val="001456B2"/>
    <w:rsid w:val="0018214B"/>
    <w:rsid w:val="001C1921"/>
    <w:rsid w:val="001E1403"/>
    <w:rsid w:val="001E79FC"/>
    <w:rsid w:val="001F5F0C"/>
    <w:rsid w:val="002038D4"/>
    <w:rsid w:val="00205CE5"/>
    <w:rsid w:val="00220C63"/>
    <w:rsid w:val="00236C2C"/>
    <w:rsid w:val="0024535E"/>
    <w:rsid w:val="00257DDB"/>
    <w:rsid w:val="00264EC4"/>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263DD"/>
    <w:rsid w:val="00427206"/>
    <w:rsid w:val="00443D28"/>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4931"/>
    <w:rsid w:val="005A0F5B"/>
    <w:rsid w:val="005B5828"/>
    <w:rsid w:val="005C4CA6"/>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A3A9F"/>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92C9D"/>
    <w:rsid w:val="00B9748E"/>
    <w:rsid w:val="00BF5F29"/>
    <w:rsid w:val="00C02585"/>
    <w:rsid w:val="00C33DC6"/>
    <w:rsid w:val="00C36D1A"/>
    <w:rsid w:val="00C42052"/>
    <w:rsid w:val="00C52C43"/>
    <w:rsid w:val="00C62187"/>
    <w:rsid w:val="00C71078"/>
    <w:rsid w:val="00C7793C"/>
    <w:rsid w:val="00C811F8"/>
    <w:rsid w:val="00CA01E1"/>
    <w:rsid w:val="00CB0143"/>
    <w:rsid w:val="00CC434D"/>
    <w:rsid w:val="00CD2826"/>
    <w:rsid w:val="00CF4C1D"/>
    <w:rsid w:val="00D0371C"/>
    <w:rsid w:val="00D105FA"/>
    <w:rsid w:val="00D22AF9"/>
    <w:rsid w:val="00D45B4B"/>
    <w:rsid w:val="00D45D96"/>
    <w:rsid w:val="00D46172"/>
    <w:rsid w:val="00D9404D"/>
    <w:rsid w:val="00D95885"/>
    <w:rsid w:val="00DA2CDC"/>
    <w:rsid w:val="00DA360E"/>
    <w:rsid w:val="00DA4F89"/>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F214D7"/>
    <w:rsid w:val="00F51CE4"/>
    <w:rsid w:val="00F55B30"/>
    <w:rsid w:val="00F72E75"/>
    <w:rsid w:val="00F7562C"/>
    <w:rsid w:val="00F916C3"/>
    <w:rsid w:val="00F93958"/>
    <w:rsid w:val="00FA11C1"/>
    <w:rsid w:val="00FC2C28"/>
    <w:rsid w:val="00FD0ECF"/>
    <w:rsid w:val="00FD3B30"/>
    <w:rsid w:val="00FE54DD"/>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7A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26" Type="http://schemas.openxmlformats.org/officeDocument/2006/relationships/hyperlink" Target="https://transport.ec.europa.eu/index_en"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hyperlink" Target="https://www.oecd.org/en/publications/market-access-trade-in-transport-services-and-trade-facilitation_9789282101476-en.htm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29" Type="http://schemas.openxmlformats.org/officeDocument/2006/relationships/hyperlink" Target="https://www.porttechnology.org/news/thessaloniki-port-reports-record-e100-million-revenue-in-202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loydslist.co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orteconomics.eu/calls-connectivity-liners-and-alliances-at-thessaloniki-container-port" TargetMode="External"/><Relationship Id="rId28" Type="http://schemas.openxmlformats.org/officeDocument/2006/relationships/hyperlink" Target="https://transport.ec.europa.eu/transport-themes/infrastructure-and-investment/trans-european-transport-network-ten-t_en" TargetMode="Externa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o.be" TargetMode="External"/><Relationship Id="rId27" Type="http://schemas.openxmlformats.org/officeDocument/2006/relationships/hyperlink" Target="https://commission.europa.eu/strategy-and-policy/priorities-2019-2024/european-green-deal_en" TargetMode="External"/><Relationship Id="rId30" Type="http://schemas.openxmlformats.org/officeDocument/2006/relationships/hyperlink" Target="https://www.thpa.gr/files/financial/aok_31122023_en.pdf?x84359"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16</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4</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5</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6</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7</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8</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9</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10</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11</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12</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17</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13</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15</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926C3C61-161C-4906-8FDA-08330A450A15}">
  <ds:schemaRefs>
    <ds:schemaRef ds:uri="http://schemas.openxmlformats.org/officeDocument/2006/bibliography"/>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925</TotalTime>
  <Pages>18</Pages>
  <Words>4304</Words>
  <Characters>23243</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26</cp:revision>
  <cp:lastPrinted>2020-09-23T18:56:00Z</cp:lastPrinted>
  <dcterms:created xsi:type="dcterms:W3CDTF">2025-10-19T16:46:00Z</dcterms:created>
  <dcterms:modified xsi:type="dcterms:W3CDTF">2025-10-22T15:37:00Z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