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59E3BB55"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r w:rsidR="003E4170" w:rsidRPr="00D11D6A">
        <w:t>Feriel</w:t>
      </w:r>
      <w:r w:rsidR="003E4170">
        <w:t xml:space="preserve"> Ben Abdallah</w:t>
      </w:r>
      <w:r w:rsidR="009D6823">
        <w:t xml:space="preserve"> </w:t>
      </w:r>
      <w:r w:rsidR="003E4170">
        <w:rPr>
          <w:vertAlign w:val="superscript"/>
        </w:rPr>
        <w:t>3</w:t>
      </w:r>
      <w:r w:rsidR="003E4170">
        <w:t>,</w:t>
      </w:r>
      <w:r>
        <w:t xml:space="preserve"> David J. Mulla</w:t>
      </w:r>
      <w:r w:rsidR="009D6823">
        <w:t xml:space="preserve"> </w:t>
      </w:r>
      <w:r>
        <w:rPr>
          <w:vertAlign w:val="superscript"/>
        </w:rPr>
        <w:t>1</w:t>
      </w:r>
      <w:r w:rsidR="005342C2">
        <w:t>, and Carl J. Rosen</w:t>
      </w:r>
      <w:r w:rsidR="009D6823">
        <w:t xml:space="preserve"> </w:t>
      </w:r>
      <w:r w:rsidR="005342C2">
        <w:rPr>
          <w:vertAlign w:val="superscript"/>
        </w:rPr>
        <w:t>1</w:t>
      </w:r>
      <w:r w:rsidR="009D6823">
        <w:rPr>
          <w:vertAlign w:val="superscript"/>
        </w:rPr>
        <w:t>,</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r w:rsidR="00D20541">
        <w:t>CyVerse,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7071330D"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attempts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(i.e., CNDC</w:t>
      </w:r>
      <w:r w:rsidR="002F1F43">
        <w:rPr>
          <w:szCs w:val="18"/>
          <w:vertAlign w:val="subscript"/>
        </w:rPr>
        <w:t>lo</w:t>
      </w:r>
      <w:r w:rsidR="002F1F43">
        <w:rPr>
          <w:szCs w:val="18"/>
        </w:rPr>
        <w:t xml:space="preserve"> and CNDC</w:t>
      </w:r>
      <w:r w:rsidR="002F1F43">
        <w:rPr>
          <w:szCs w:val="18"/>
          <w:vertAlign w:val="subscript"/>
        </w:rPr>
        <w:t>up</w:t>
      </w:r>
      <w:r w:rsidR="002F1F43">
        <w:rPr>
          <w:szCs w:val="18"/>
        </w:rPr>
        <w:t xml:space="preserve">) </w:t>
      </w:r>
      <w:r w:rsidR="00E65B5D">
        <w:rPr>
          <w:szCs w:val="18"/>
        </w:rPr>
        <w:t>should be used in subsequent calculations (e.g., N nutrition index) to propagate and account for</w:t>
      </w:r>
      <w:r w:rsidR="00480EAA">
        <w:rPr>
          <w:szCs w:val="18"/>
        </w:rPr>
        <w:t xml:space="preserve"> </w:t>
      </w:r>
      <w:r w:rsidR="00E65B5D">
        <w:rPr>
          <w:szCs w:val="18"/>
        </w:rPr>
        <w:t>uncertainty</w:t>
      </w:r>
      <w:r w:rsidR="002F1F43">
        <w:rPr>
          <w:szCs w:val="18"/>
        </w:rPr>
        <w:t xml:space="preserve"> in</w:t>
      </w:r>
      <w:r w:rsidR="00F505C8">
        <w:rPr>
          <w:szCs w:val="18"/>
        </w:rPr>
        <w:t xml:space="preserve">. Additionally, this study found that the conventional statistical method </w:t>
      </w:r>
      <w:r w:rsidR="008D3914">
        <w:rPr>
          <w:szCs w:val="18"/>
        </w:rPr>
        <w:t xml:space="preserve">used to derive CNDCs </w:t>
      </w:r>
      <w:r w:rsidR="00F505C8">
        <w:rPr>
          <w:szCs w:val="18"/>
        </w:rPr>
        <w:t>is subject to greater inferential bias resulting from biased experimental datasets (i.e., unbalanced distribution of N limiting and non-N limiting observations) than the Bayesian hierarchical method. Overall, this study provide</w:t>
      </w:r>
      <w:r w:rsidR="008D3914">
        <w:rPr>
          <w:szCs w:val="18"/>
        </w:rPr>
        <w:t>s</w:t>
      </w:r>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r>
              <w:t xml:space="preserve">Lastname, F.; Lastname, F.; </w:t>
            </w:r>
            <w:r w:rsidR="00F84C0C">
              <w:t>Lastname</w:t>
            </w:r>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with regard to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r>
        <w:t xml:space="preserve">Identifying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determine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r>
        <w:t>.</w:t>
      </w:r>
    </w:p>
    <w:p w14:paraId="73768126" w14:textId="16370564" w:rsidR="000B720A" w:rsidRDefault="00203D21" w:rsidP="00C35D39">
      <w:pPr>
        <w:pStyle w:val="MDPI31text"/>
      </w:pPr>
      <w:r>
        <w:t>The NNI approach is defined based on the allometric relationship of declining N concentration with increasing biomass, referred to as the critical N dilution curve [CNDC]</w:t>
      </w:r>
      <w:r w:rsidR="00686D0E">
        <w:t xml:space="preserve">, </w:t>
      </w:r>
      <w:r>
        <w:t xml:space="preserve">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rsidR="00686D0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B720A" w14:paraId="60F76086" w14:textId="77777777" w:rsidTr="00343F4B">
        <w:tc>
          <w:tcPr>
            <w:tcW w:w="7428" w:type="dxa"/>
            <w:hideMark/>
          </w:tcPr>
          <w:p w14:paraId="257CE0A9" w14:textId="254A7221" w:rsidR="000B720A" w:rsidRPr="00A3029D" w:rsidRDefault="000B720A" w:rsidP="00343F4B">
            <w:pPr>
              <w:pStyle w:val="MDPI39equation"/>
            </w:pPr>
            <w:r>
              <w:t>%</w:t>
            </w:r>
            <w:r>
              <w:t>N</w:t>
            </w:r>
            <w:r>
              <w:rPr>
                <w:vertAlign w:val="subscript"/>
              </w:rPr>
              <w:t>c</w:t>
            </w:r>
            <w:r>
              <w:t xml:space="preserve"> = a W</w:t>
            </w:r>
            <w:r w:rsidRPr="00A33A19">
              <w:rPr>
                <w:vertAlign w:val="superscript"/>
              </w:rPr>
              <w:t>–b</w:t>
            </w:r>
          </w:p>
        </w:tc>
        <w:tc>
          <w:tcPr>
            <w:tcW w:w="431" w:type="dxa"/>
            <w:vAlign w:val="center"/>
            <w:hideMark/>
          </w:tcPr>
          <w:p w14:paraId="42C37F4C" w14:textId="3B98B0C0" w:rsidR="000B720A" w:rsidRDefault="000B720A" w:rsidP="00343F4B">
            <w:pPr>
              <w:pStyle w:val="MDPI3aequationnumber"/>
              <w:spacing w:line="260" w:lineRule="atLeast"/>
            </w:pPr>
            <w:r>
              <w:t>(</w:t>
            </w:r>
            <w:r w:rsidR="00686D0E">
              <w:t>1</w:t>
            </w:r>
            <w:r>
              <w:t>)</w:t>
            </w:r>
          </w:p>
        </w:tc>
      </w:tr>
    </w:tbl>
    <w:p w14:paraId="7526E80A" w14:textId="4D0FD54B" w:rsidR="00203D21" w:rsidRDefault="00203D21" w:rsidP="00C35D39">
      <w:pPr>
        <w:pStyle w:val="MDPI31text"/>
      </w:pPr>
      <w:r>
        <w:t>A robust theoretical framework has been developed to explain decline in N concentration as biomass increases, but the application of this theory is</w:t>
      </w:r>
      <w:r w:rsidR="000A2011">
        <w:t xml:space="preserve"> </w:t>
      </w:r>
      <w:r w:rsidR="00C5585E">
        <w:t xml:space="preserve">most </w:t>
      </w:r>
      <w:r w:rsidR="000A2011">
        <w:t>commonly</w:t>
      </w:r>
      <w:r>
        <w:t xml:space="preserve"> restricted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xml:space="preserve">. </w:t>
      </w:r>
      <w:r>
        <w:lastRenderedPageBreak/>
        <w:t>Dilution of N in vegetative tissue occurs in relationship to an increasing proportion structural biomass, with low N concentration, relative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4C5269F1" w:rsidR="009F4200" w:rsidRPr="009F4200" w:rsidRDefault="009436F2" w:rsidP="00C35D39">
      <w:pPr>
        <w:pStyle w:val="MDPI31text"/>
        <w:rPr>
          <w:strike/>
        </w:rPr>
      </w:pPr>
      <w:r>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 xml:space="preserve">over the entire crop growth cycle, including periods of reproductive growth,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r w:rsidR="00203D21">
        <w:t>observed that as an increasing proportion of biomass accumulates in tubers (i.e.</w:t>
      </w:r>
      <w:r w:rsidR="00686D0E">
        <w:t>,</w:t>
      </w:r>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of variation in CNDC observed between cultivars and geographies </w:t>
      </w:r>
      <w:r w:rsidR="00CD652D">
        <w:t xml:space="preserve">has been </w:t>
      </w:r>
      <w:r w:rsidR="009F4200" w:rsidRPr="009F4200">
        <w:t>challenging.</w:t>
      </w:r>
    </w:p>
    <w:p w14:paraId="0DB0BD61" w14:textId="1E758FE1"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identified</w:t>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w:t>
      </w:r>
      <w:r w:rsidR="00D531F9">
        <w:t>based on</w:t>
      </w:r>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r w:rsidR="002D6C2D">
        <w:t>observed</w:t>
      </w:r>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0AB61C30"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D531F9">
        <w:t>expect</w:t>
      </w:r>
      <w:r>
        <w:t xml:space="preserve"> that variation in CNDC across environments [E] (e.g., climate, geography, etc.) and genotypes [G] (e.g., </w:t>
      </w:r>
      <w:r w:rsidR="00D11D6A">
        <w:t>variety</w:t>
      </w:r>
      <w:r>
        <w:t>) would</w:t>
      </w:r>
      <w:r w:rsidR="00D531F9">
        <w:t xml:space="preserve"> occur</w:t>
      </w:r>
      <w:r>
        <w:t xml:space="preserve">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CC3B3DA" w:rsidR="004E423F" w:rsidRDefault="009F4200" w:rsidP="004E423F">
      <w:pPr>
        <w:pStyle w:val="MDPI31text"/>
      </w:pPr>
      <w:r>
        <w:t xml:space="preserve">Previous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ascertain whether observed differences in CNDCs result from underlying G</w:t>
      </w:r>
      <w:r w:rsidR="003819FD">
        <w:t xml:space="preserve"> </w:t>
      </w:r>
      <w:r>
        <w:t>x</w:t>
      </w:r>
      <w:r w:rsidR="003819FD">
        <w:t xml:space="preserve"> </w:t>
      </w:r>
      <w:r>
        <w:t xml:space="preserve">E effects or </w:t>
      </w:r>
      <w:r w:rsidR="00686D0E">
        <w:t xml:space="preserve">are </w:t>
      </w:r>
      <w:r w:rsidR="007D2859">
        <w:t>confounded by the limitations of the statistical approach.</w:t>
      </w:r>
    </w:p>
    <w:p w14:paraId="74F5D5CF" w14:textId="2B5E17FD" w:rsidR="004E423F" w:rsidRDefault="004E423F" w:rsidP="004E423F">
      <w:pPr>
        <w:pStyle w:val="MDPI31text"/>
      </w:pPr>
      <w:r>
        <w:t>The conventional approach to fit a CNDC, consists of a two-step process: first, the critical points are selected using statistical criteria;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This approach is rigorous and requires sufficient empirical data such that a linear-plateau curve can be identified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to identify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to identify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lastRenderedPageBreak/>
        <w:t xml:space="preserve">statistical </w:t>
      </w:r>
      <w:r w:rsidR="00164E86">
        <w:t xml:space="preserve">method is more flexible to implement, it </w:t>
      </w:r>
      <w:r w:rsidR="00B715B6">
        <w:t>can</w:t>
      </w:r>
      <w:r w:rsidR="00164E86">
        <w:t xml:space="preserve">not </w:t>
      </w:r>
      <w:r w:rsidR="00B715B6">
        <w:t>resolve deficiencies in the underlying empirical data (i.e., insufficient level of N treatments, interactions with environmental conditions) that the linear-plateau method was designed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without sufficient quantity of both N limiting and non</w:t>
      </w:r>
      <w:r w:rsidR="00C6555C">
        <w:t>-</w:t>
      </w:r>
      <w:r w:rsidR="00B715B6">
        <w:t>N limiting observations</w:t>
      </w:r>
      <w:r w:rsidR="00C6555C">
        <w:t>)</w:t>
      </w:r>
      <w:r w:rsidR="00B715B6">
        <w:t>.</w:t>
      </w:r>
    </w:p>
    <w:p w14:paraId="795FE996" w14:textId="2E122E10"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r w:rsidR="00377A0B">
        <w:t>entire</w:t>
      </w:r>
      <w:r>
        <w:t xml:space="preserve"> set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2232D4E3"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1E1D9C">
        <w:t xml:space="preserve"> (i.e., variety, location)</w:t>
      </w:r>
      <w:r w:rsidR="0044779F">
        <w:t xml:space="preserve"> based on the uncertainty in </w:t>
      </w:r>
      <w:r w:rsidR="00116F87">
        <w:rPr>
          <w:szCs w:val="18"/>
        </w:rPr>
        <w:t>%N</w:t>
      </w:r>
      <w:r w:rsidR="00116F87">
        <w:rPr>
          <w:szCs w:val="18"/>
          <w:vertAlign w:val="subscript"/>
        </w:rPr>
        <w:t>c</w:t>
      </w:r>
      <w:r w:rsidR="0044779F">
        <w:t xml:space="preserve"> and curve parameters</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C7D9E49" w:rsidR="00F71C4C" w:rsidRDefault="00A22EA9" w:rsidP="00F71C4C">
      <w:pPr>
        <w:pStyle w:val="MDPI22heading2"/>
        <w:spacing w:before="0"/>
      </w:pPr>
      <w:r>
        <w:t>2</w:t>
      </w:r>
      <w:r w:rsidR="00F71C4C">
        <w:t>.1. Fitted Parameter Values and Uncertainity</w:t>
      </w:r>
    </w:p>
    <w:p w14:paraId="10749170" w14:textId="10463565" w:rsidR="00DA5043" w:rsidRDefault="00A22EA9" w:rsidP="002B49B4">
      <w:pPr>
        <w:pStyle w:val="MDPI23heading3"/>
      </w:pPr>
      <w:r>
        <w:t>2</w:t>
      </w:r>
      <w:r w:rsidR="00DA5043">
        <w:t>.1.</w:t>
      </w:r>
      <w:r w:rsidR="00753765">
        <w:t>1</w:t>
      </w:r>
      <w:r w:rsidR="00DA5043" w:rsidRPr="007D08B2">
        <w:t xml:space="preserve">. </w:t>
      </w:r>
      <w:r w:rsidR="00DA5043">
        <w:t>Critical N Dilution Curve Parameter Fit and Uncertainty</w:t>
      </w:r>
    </w:p>
    <w:p w14:paraId="52AB2949" w14:textId="00BD5D88"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are presented below (</w:t>
      </w:r>
      <w:r w:rsidR="00157166">
        <w:t>Figure 1</w:t>
      </w:r>
      <w:r>
        <w:t>) showing the median value and 90% credible interval (i.e., 0.05 and 0.95 quantile values).</w:t>
      </w:r>
      <w:r w:rsidR="002D32DD">
        <w:t xml:space="preserve"> For parameter </w:t>
      </w:r>
      <w:r w:rsidR="002D32DD" w:rsidRPr="007D33F1">
        <w:rPr>
          <w:i/>
          <w:iCs/>
        </w:rPr>
        <w:t>a</w:t>
      </w:r>
      <w:r w:rsidR="002D32DD">
        <w:t>, t</w:t>
      </w:r>
      <w:r w:rsidR="002D32DD" w:rsidRPr="007D33F1">
        <w:t>here</w:t>
      </w:r>
      <w:r w:rsidR="002D32DD">
        <w:t xml:space="preserve"> was no significant difference for the effect of </w:t>
      </w:r>
      <w:r w:rsidR="002D32DD" w:rsidRPr="00840960">
        <w:t>location</w:t>
      </w:r>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r w:rsidR="002D32DD">
        <w:rPr>
          <w:i/>
          <w:iCs/>
        </w:rPr>
        <w:t>a</w:t>
      </w:r>
      <w:r w:rsidR="002D32DD">
        <w:t xml:space="preserve"> </w:t>
      </w:r>
      <w:r w:rsidR="00840960">
        <w:t>for</w:t>
      </w:r>
      <w:r w:rsidR="002D32DD">
        <w:t xml:space="preserve"> </w:t>
      </w:r>
      <w:r w:rsidR="00695778">
        <w:t xml:space="preserve">the </w:t>
      </w:r>
      <w:r w:rsidR="00840960">
        <w:t xml:space="preserve">variety within location </w:t>
      </w:r>
      <w:r w:rsidR="00695778">
        <w:t xml:space="preserve">effect </w:t>
      </w:r>
      <w:r w:rsidR="002D32DD">
        <w:t>is negligible</w:t>
      </w:r>
      <w:r w:rsidR="00695778">
        <w:t xml:space="preserve"> and not statistically significant (Figure 1a)</w:t>
      </w:r>
      <w:r w:rsidR="002D32DD">
        <w:t>.</w:t>
      </w:r>
    </w:p>
    <w:p w14:paraId="641A857C" w14:textId="782D13FB" w:rsidR="006537E9" w:rsidRDefault="002D32DD" w:rsidP="00176C5B">
      <w:pPr>
        <w:pStyle w:val="MDPI31text"/>
      </w:pPr>
      <w:r>
        <w:t xml:space="preserve">For parameter </w:t>
      </w:r>
      <w:r>
        <w:rPr>
          <w:i/>
          <w:iCs/>
        </w:rPr>
        <w:t>b</w:t>
      </w:r>
      <w:r>
        <w:t xml:space="preserve">, there were significant differences </w:t>
      </w:r>
      <w:r w:rsidR="008F37F7">
        <w:t>for</w:t>
      </w:r>
      <w:r>
        <w:t xml:space="preserve"> both </w:t>
      </w:r>
      <w:r w:rsidR="00695778">
        <w:t xml:space="preserve">the effect of </w:t>
      </w:r>
      <w:r w:rsidRPr="008F37F7">
        <w:t>location</w:t>
      </w:r>
      <w:r>
        <w:t xml:space="preserve"> and </w:t>
      </w:r>
      <w:r w:rsidR="008F37F7">
        <w:t xml:space="preserve">variety within location </w:t>
      </w:r>
      <w:r>
        <w:t>at 90% credible interval threshold (</w:t>
      </w:r>
      <w:r w:rsidR="00157166">
        <w:t>Figure 1</w:t>
      </w:r>
      <w:r>
        <w:t xml:space="preserve">b). For </w:t>
      </w:r>
      <w:r w:rsidRPr="00ED0D82">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w:t>
      </w:r>
      <w:r w:rsidR="00695778">
        <w:t xml:space="preserve">the </w:t>
      </w:r>
      <w:r w:rsidR="00ED0D82">
        <w:t>variety within location</w:t>
      </w:r>
      <w:r w:rsidR="00695778">
        <w:t xml:space="preserve"> effect</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Markies Russet, and Bannock Russet (0.178, 0.165, 0.155, and 0.140, respectively). The difference between Innovator and Umatilla Russet, Markies Russet, and Bannock Russet was significant, while all other differences between varieties was not significant. For Canada, Russet Burbank had a significantly </w:t>
      </w:r>
      <w:r w:rsidR="009062BE">
        <w:t>higher</w:t>
      </w:r>
      <w:r>
        <w:t xml:space="preserve"> value for parameter </w:t>
      </w:r>
      <w:r w:rsidRPr="002F1112">
        <w:rPr>
          <w:i/>
          <w:iCs/>
        </w:rPr>
        <w:t>b</w:t>
      </w:r>
      <w:r>
        <w:t xml:space="preserve"> (0.489) than Shepody (0.412).</w:t>
      </w:r>
    </w:p>
    <w:tbl>
      <w:tblPr>
        <w:tblStyle w:val="TableGrid"/>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426768">
        <w:tc>
          <w:tcPr>
            <w:tcW w:w="7886" w:type="dxa"/>
            <w:gridSpan w:val="2"/>
          </w:tcPr>
          <w:p w14:paraId="49AC83CE" w14:textId="1E913FCB" w:rsidR="0006745B" w:rsidRDefault="009E078A" w:rsidP="0003520A">
            <w:pPr>
              <w:pStyle w:val="MDPI52figure"/>
            </w:pPr>
            <w:r>
              <w:rPr>
                <w:noProof/>
                <w:snapToGrid/>
              </w:rPr>
              <w:lastRenderedPageBreak/>
              <w:drawing>
                <wp:inline distT="0" distB="0" distL="0" distR="0" wp14:anchorId="4549127B" wp14:editId="3B7D5ACF">
                  <wp:extent cx="5010912" cy="37603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extLst>
                              <a:ext uri="{28A0092B-C50C-407E-A947-70E740481C1C}">
                                <a14:useLocalDpi xmlns:a14="http://schemas.microsoft.com/office/drawing/2010/main" val="0"/>
                              </a:ext>
                            </a:extLst>
                          </a:blip>
                          <a:stretch>
                            <a:fillRect/>
                          </a:stretch>
                        </pic:blipFill>
                        <pic:spPr>
                          <a:xfrm>
                            <a:off x="0" y="0"/>
                            <a:ext cx="5010912" cy="3760339"/>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37BB0A3B"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154B9B">
        <w:rPr>
          <w:bCs/>
        </w:rPr>
        <w:t>variety</w:t>
      </w:r>
      <w:r w:rsidR="003C6F2B" w:rsidRPr="00AF19A0">
        <w:rPr>
          <w:bCs/>
        </w:rPr>
        <w:t xml:space="preserve"> and </w:t>
      </w:r>
      <w:r w:rsidR="00154B9B">
        <w:rPr>
          <w:bCs/>
        </w:rPr>
        <w:t xml:space="preserve">variety within location </w:t>
      </w:r>
      <w:r w:rsidR="00695778">
        <w:rPr>
          <w:bCs/>
        </w:rPr>
        <w:t xml:space="preserve">effects </w:t>
      </w:r>
      <w:r w:rsidR="003C6F2B" w:rsidRPr="00AF19A0">
        <w:rPr>
          <w:bCs/>
        </w:rPr>
        <w:t xml:space="preserve">for </w:t>
      </w:r>
      <w:r w:rsidR="003C6F2B" w:rsidRPr="00227698">
        <w:rPr>
          <w:b/>
        </w:rPr>
        <w:t>(a)</w:t>
      </w:r>
      <w:r w:rsidR="003C6F2B" w:rsidRPr="00AF19A0">
        <w:rPr>
          <w:bCs/>
        </w:rPr>
        <w:t xml:space="preserve"> parameter a; and </w:t>
      </w:r>
      <w:r w:rsidR="003C6F2B" w:rsidRPr="00227698">
        <w:rPr>
          <w:b/>
        </w:rPr>
        <w:t>(b)</w:t>
      </w:r>
      <w:r w:rsidR="003C6F2B" w:rsidRPr="00AF19A0">
        <w:rPr>
          <w:bCs/>
        </w:rPr>
        <w:t xml:space="preserve"> parameter b. Points represent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77924676" w14:textId="35081B26" w:rsidR="00176C5B" w:rsidRPr="00DA5043" w:rsidRDefault="00A22EA9" w:rsidP="00176C5B">
      <w:pPr>
        <w:pStyle w:val="MDPI23heading3"/>
      </w:pPr>
      <w:r>
        <w:t>2</w:t>
      </w:r>
      <w:r w:rsidR="00176C5B" w:rsidRPr="00DA5043">
        <w:t>.1.</w:t>
      </w:r>
      <w:r w:rsidR="00176C5B">
        <w:t>2.</w:t>
      </w:r>
      <w:r w:rsidR="00176C5B" w:rsidRPr="00DA5043">
        <w:t xml:space="preserve"> Correlations between Critical N Dilution Curve Parameters</w:t>
      </w:r>
    </w:p>
    <w:p w14:paraId="41A626A9" w14:textId="323D3F30"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w:t>
      </w:r>
      <w:r w:rsidR="00157166">
        <w:t>Figure 2</w:t>
      </w:r>
      <w:r>
        <w:t xml:space="preserve">) </w:t>
      </w:r>
      <w:r w:rsidR="007F5379">
        <w:t xml:space="preserve">which </w:t>
      </w:r>
      <w:r>
        <w:t>indicates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non-significant differences </w:t>
      </w:r>
      <w:r w:rsidR="007D47A7">
        <w:t>between</w:t>
      </w:r>
      <w:r>
        <w:t xml:space="preserve"> parameters </w:t>
      </w:r>
      <w:r w:rsidRPr="00DD5451">
        <w:rPr>
          <w:i/>
          <w:iCs/>
        </w:rPr>
        <w:t>a</w:t>
      </w:r>
      <w:r>
        <w:t xml:space="preserve"> and </w:t>
      </w:r>
      <w:r>
        <w:rPr>
          <w:i/>
          <w:iCs/>
        </w:rPr>
        <w:t>b</w:t>
      </w:r>
      <w:r>
        <w:t xml:space="preserve"> does not ensure that differences in %N</w:t>
      </w:r>
      <w:r>
        <w:rPr>
          <w:vertAlign w:val="subscript"/>
        </w:rPr>
        <w:t>c</w:t>
      </w:r>
      <w:r>
        <w:t xml:space="preserve"> are not significant.</w:t>
      </w:r>
    </w:p>
    <w:p w14:paraId="707570E3" w14:textId="25E4FF40" w:rsidR="007F5379" w:rsidRDefault="00A22EA9" w:rsidP="007F5379">
      <w:pPr>
        <w:pStyle w:val="MDPI23heading3"/>
      </w:pPr>
      <w:r>
        <w:t>2</w:t>
      </w:r>
      <w:r w:rsidR="007F5379">
        <w:t>.1.3</w:t>
      </w:r>
      <w:r w:rsidR="007F5379" w:rsidRPr="007D08B2">
        <w:t xml:space="preserve">. </w:t>
      </w:r>
      <w:r w:rsidR="007F5379">
        <w:t>Overall Model Fit</w:t>
      </w:r>
    </w:p>
    <w:p w14:paraId="6478B32B" w14:textId="1D15344A" w:rsidR="007F5379" w:rsidRDefault="007F5379" w:rsidP="007F5379">
      <w:pPr>
        <w:pStyle w:val="MDPI31text"/>
      </w:pPr>
      <w:r>
        <w:t xml:space="preserve">Critical N dilution curves for each </w:t>
      </w:r>
      <w:r w:rsidR="001E1D9C">
        <w:t>variety within location</w:t>
      </w:r>
      <w:r w:rsidR="00695778">
        <w:t xml:space="preserve"> </w:t>
      </w:r>
      <w:r w:rsidR="00AE6B5C">
        <w:t>and t</w:t>
      </w:r>
      <w:r>
        <w:t>he experimental data, median linear-plateau curve for each experimental sampling date, and median value of %N</w:t>
      </w:r>
      <w:r>
        <w:rPr>
          <w:vertAlign w:val="subscript"/>
        </w:rPr>
        <w:t>c</w:t>
      </w:r>
      <w:r>
        <w:t xml:space="preserve"> are presented below (</w:t>
      </w:r>
      <w:r w:rsidR="00157166">
        <w:t>Figure 3</w:t>
      </w:r>
      <w:r>
        <w:t xml:space="preserve">). The individual linear-plateau curves fitted for each experimental sampling date </w:t>
      </w:r>
      <w:r w:rsidR="00AE6B5C">
        <w:t xml:space="preserve">nested within </w:t>
      </w:r>
      <w:r>
        <w:t xml:space="preserve">each </w:t>
      </w:r>
      <w:r w:rsidR="00AE6B5C">
        <w:t xml:space="preserve">level of the </w:t>
      </w:r>
      <w:r w:rsidR="001E1D9C">
        <w:t xml:space="preserve">variety within location </w:t>
      </w:r>
      <w:r w:rsidR="00AE6B5C">
        <w:t xml:space="preserve">effect </w:t>
      </w:r>
      <w:r w:rsidR="006F3E2E">
        <w:t>are</w:t>
      </w:r>
      <w:r>
        <w:t xml:space="preserve"> presented in the Supplemental Materials (Figure S1).</w:t>
      </w:r>
    </w:p>
    <w:p w14:paraId="6DD50532" w14:textId="77777777" w:rsidR="00ED28D7" w:rsidRPr="00DA5043" w:rsidRDefault="00ED28D7" w:rsidP="00ED28D7">
      <w:pPr>
        <w:pStyle w:val="MDPI22heading2"/>
      </w:pPr>
      <w:r>
        <w:t>2</w:t>
      </w:r>
      <w:r w:rsidRPr="00DA5043">
        <w:t>.2. Critical N Concentration Uncertainity</w:t>
      </w:r>
    </w:p>
    <w:p w14:paraId="3C333E31" w14:textId="50581697" w:rsidR="00FD5005" w:rsidRDefault="00ED28D7" w:rsidP="00AE6B5C">
      <w:pPr>
        <w:pStyle w:val="MDPI31text"/>
      </w:pPr>
      <w:r>
        <w:t>The credible region for %N</w:t>
      </w:r>
      <w:r>
        <w:rPr>
          <w:vertAlign w:val="subscript"/>
        </w:rPr>
        <w:t>c</w:t>
      </w:r>
      <w:r>
        <w:t xml:space="preserve"> varies </w:t>
      </w:r>
      <w:r w:rsidR="00D41BB9">
        <w:t>across</w:t>
      </w:r>
      <w:r w:rsidR="001E1D9C">
        <w:t xml:space="preserve"> variety within location</w:t>
      </w:r>
      <w:r>
        <w:t xml:space="preserve"> </w:t>
      </w:r>
      <w:r w:rsidR="00D531F9">
        <w:t>and</w:t>
      </w:r>
      <w:r w:rsidR="001E1D9C">
        <w:t xml:space="preserve"> </w:t>
      </w:r>
      <w:r>
        <w:t>across levels of biomass</w:t>
      </w:r>
      <w:r w:rsidR="00AE6B5C">
        <w:t xml:space="preserve"> </w:t>
      </w:r>
      <w:r>
        <w:t>(</w:t>
      </w:r>
      <w:r w:rsidR="00157166">
        <w:t>Figure 4</w:t>
      </w:r>
      <w:r>
        <w:t>).</w:t>
      </w:r>
      <w:r w:rsidR="00FD5005">
        <w:t xml:space="preserve"> The symmetry of the credible region distribution varies </w:t>
      </w:r>
      <w:r w:rsidR="00AE6B5C">
        <w:t>by</w:t>
      </w:r>
      <w:r w:rsidR="00FD5005">
        <w:t xml:space="preserve"> </w:t>
      </w:r>
      <w:r w:rsidR="001E1D9C">
        <w:t>variet</w:t>
      </w:r>
      <w:r w:rsidR="00695778">
        <w:t>y</w:t>
      </w:r>
      <w:r w:rsidR="001E1D9C">
        <w:t xml:space="preserve"> </w:t>
      </w:r>
      <w:r w:rsidR="00695778">
        <w:t>within location</w:t>
      </w:r>
      <w:r w:rsidR="00AE6B5C">
        <w:t xml:space="preserve"> </w:t>
      </w:r>
      <w:r w:rsidR="00FD5005">
        <w:t xml:space="preserve">with some </w:t>
      </w:r>
      <w:r w:rsidR="00AE6B5C">
        <w:t>combinations,</w:t>
      </w:r>
      <w:r w:rsidR="00FD5005">
        <w:t xml:space="preserve"> such as Argentina x Gem Russet, having a skewed distribution, while other levels, such as Canada x Shepody, having a symmetrical distribution (</w:t>
      </w:r>
      <w:r w:rsidR="00157166">
        <w:t>Figure 4</w:t>
      </w:r>
      <w:r w:rsidR="00FD5005">
        <w:t xml:space="preserve">a). There are also differences in the range of the credible region where some </w:t>
      </w:r>
      <w:r w:rsidR="00AE6B5C">
        <w:t>varieties within location</w:t>
      </w:r>
      <w:r w:rsidR="00FD5005">
        <w:t>, such as Argentina x Umatilla Russet, have greater uncertainty in %N</w:t>
      </w:r>
      <w:r w:rsidR="00FD5005">
        <w:rPr>
          <w:vertAlign w:val="subscript"/>
        </w:rPr>
        <w:t>c</w:t>
      </w:r>
      <w:r w:rsidR="00FD5005">
        <w:t xml:space="preserve"> than other</w:t>
      </w:r>
      <w:r w:rsidR="00AE6B5C">
        <w:t>s</w:t>
      </w:r>
      <w:r w:rsidR="00FD5005">
        <w:t>,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increasing credible region range, </w:t>
      </w:r>
      <w:r w:rsidR="00FD5005">
        <w:lastRenderedPageBreak/>
        <w:t>Minnesota x Russet Burbank has decreasing credible region range, and Argentina x Bannock Russet has nearly constant credible region range.</w:t>
      </w:r>
    </w:p>
    <w:p w14:paraId="436BDF3A" w14:textId="7CCF8499" w:rsidR="00C33DAA" w:rsidRDefault="009E078A" w:rsidP="0003520A">
      <w:pPr>
        <w:pStyle w:val="MDPI52figure"/>
        <w:ind w:left="2610" w:right="26"/>
        <w:jc w:val="left"/>
      </w:pPr>
      <w:r>
        <w:rPr>
          <w:noProof/>
          <w:snapToGrid/>
        </w:rPr>
        <w:drawing>
          <wp:inline distT="0" distB="0" distL="0" distR="0" wp14:anchorId="401EE289" wp14:editId="1C66C640">
            <wp:extent cx="5010912" cy="334044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56D1AADF"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r w:rsidR="00E755FC">
        <w:rPr>
          <w:bCs/>
        </w:rPr>
        <w:t>location within variety</w:t>
      </w:r>
      <w:r w:rsidR="00C33DAA" w:rsidRPr="00AF19A0">
        <w:rPr>
          <w:bCs/>
        </w:rPr>
        <w:t xml:space="preserve"> shown as a scatterplot with marginal density distribution given for each parameter. Pearson correlation coefficient [</w:t>
      </w:r>
      <w:r w:rsidR="00C33DAA" w:rsidRPr="005727EC">
        <w:rPr>
          <w:bCs/>
          <w:i/>
          <w:iCs/>
        </w:rPr>
        <w:t>R</w:t>
      </w:r>
      <w:r w:rsidR="00C33DAA" w:rsidRPr="00AF19A0">
        <w:rPr>
          <w:bCs/>
        </w:rPr>
        <w:t xml:space="preserve">] is displayed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Data are shown at the level of individual draws (n=28,000)</w:t>
      </w:r>
      <w:r w:rsidR="00627C00">
        <w:rPr>
          <w:bCs/>
        </w:rPr>
        <w:t>.</w:t>
      </w:r>
    </w:p>
    <w:p w14:paraId="72244FCD" w14:textId="408DDF92" w:rsidR="007D47A7" w:rsidRDefault="003F6517" w:rsidP="0003520A">
      <w:pPr>
        <w:pStyle w:val="MDPI52figure"/>
        <w:ind w:left="2610" w:right="26"/>
        <w:jc w:val="left"/>
        <w:rPr>
          <w:b/>
        </w:rPr>
      </w:pPr>
      <w:r>
        <w:rPr>
          <w:b/>
          <w:noProof/>
          <w:snapToGrid/>
        </w:rPr>
        <w:drawing>
          <wp:inline distT="0" distB="0" distL="0" distR="0" wp14:anchorId="1DC6B6B0" wp14:editId="5A168CDC">
            <wp:extent cx="5010912" cy="334060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p w14:paraId="7AA42D19" w14:textId="3422186E"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Median critical N </w:t>
      </w:r>
      <w:r w:rsidR="007D47A7">
        <w:rPr>
          <w:bCs/>
        </w:rPr>
        <w:t>concentration [%N</w:t>
      </w:r>
      <w:r w:rsidR="007D47A7">
        <w:rPr>
          <w:bCs/>
          <w:vertAlign w:val="subscript"/>
        </w:rPr>
        <w:t>c</w:t>
      </w:r>
      <w:r w:rsidR="007D47A7">
        <w:rPr>
          <w:bCs/>
        </w:rPr>
        <w:t>] fitted</w:t>
      </w:r>
      <w:r w:rsidR="007D47A7" w:rsidRPr="00E734D2">
        <w:rPr>
          <w:bCs/>
        </w:rPr>
        <w:t xml:space="preserve"> </w:t>
      </w:r>
      <w:r w:rsidR="007D47A7">
        <w:rPr>
          <w:bCs/>
        </w:rPr>
        <w:t xml:space="preserve">from the hierarchical Bayesian model </w:t>
      </w:r>
      <w:r w:rsidR="007D47A7" w:rsidRPr="00E734D2">
        <w:rPr>
          <w:bCs/>
        </w:rPr>
        <w:t>for eac</w:t>
      </w:r>
      <w:r w:rsidR="00627C00">
        <w:rPr>
          <w:bCs/>
        </w:rPr>
        <w:t xml:space="preserve">h location with variety is </w:t>
      </w:r>
      <w:r w:rsidR="007D47A7" w:rsidRPr="00E734D2">
        <w:rPr>
          <w:bCs/>
        </w:rPr>
        <w:t xml:space="preserve">shown as solid black line. Biomass and nitrogen concentration [%N] data are displayed as points with the median linear-plateau curve for each sampling date shown as grey line. The number of samples [n] and the number of sampling dates [i] are </w:t>
      </w:r>
      <w:r w:rsidR="00DE3AEE">
        <w:rPr>
          <w:bCs/>
        </w:rPr>
        <w:t>summarized</w:t>
      </w:r>
      <w:r w:rsidR="007D47A7" w:rsidRPr="00E734D2">
        <w:rPr>
          <w:bCs/>
        </w:rPr>
        <w:t>.</w:t>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lastRenderedPageBreak/>
              <w:t>(a)</w:t>
            </w:r>
          </w:p>
        </w:tc>
        <w:tc>
          <w:tcPr>
            <w:tcW w:w="7661" w:type="dxa"/>
          </w:tcPr>
          <w:p w14:paraId="190965F9" w14:textId="74B07A53" w:rsidR="00EC0FCD" w:rsidRPr="00EC0FCD" w:rsidRDefault="00B361C8" w:rsidP="00680471">
            <w:pPr>
              <w:pStyle w:val="MDPI52figure"/>
            </w:pPr>
            <w:r>
              <w:rPr>
                <w:noProof/>
                <w:snapToGrid/>
              </w:rPr>
              <w:drawing>
                <wp:inline distT="0" distB="0" distL="0" distR="0" wp14:anchorId="3151B744" wp14:editId="46C0144C">
                  <wp:extent cx="5010912" cy="3340608"/>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t>(b)</w:t>
            </w:r>
          </w:p>
        </w:tc>
        <w:tc>
          <w:tcPr>
            <w:tcW w:w="7661" w:type="dxa"/>
          </w:tcPr>
          <w:p w14:paraId="55751096" w14:textId="2AD38208" w:rsidR="00EC0FCD" w:rsidRDefault="00B361C8" w:rsidP="00680471">
            <w:pPr>
              <w:pStyle w:val="MDPI52figure"/>
            </w:pPr>
            <w:r>
              <w:rPr>
                <w:noProof/>
                <w:snapToGrid/>
              </w:rPr>
              <w:drawing>
                <wp:inline distT="0" distB="0" distL="0" distR="0" wp14:anchorId="0F3037EA" wp14:editId="4DA18F4F">
                  <wp:extent cx="5010912" cy="183269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5010912" cy="1832695"/>
                          </a:xfrm>
                          <a:prstGeom prst="rect">
                            <a:avLst/>
                          </a:prstGeom>
                        </pic:spPr>
                      </pic:pic>
                    </a:graphicData>
                  </a:graphic>
                </wp:inline>
              </w:drawing>
            </w:r>
          </w:p>
        </w:tc>
      </w:tr>
    </w:tbl>
    <w:p w14:paraId="7B710DC5" w14:textId="3F7CCD60" w:rsidR="00D263FA" w:rsidRPr="002C5553" w:rsidRDefault="00157166" w:rsidP="007F5379">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between the median critical N concentration</w:t>
      </w:r>
      <w:r w:rsidR="007F5379">
        <w:rPr>
          <w:bCs/>
        </w:rPr>
        <w:t xml:space="preserve"> [%N</w:t>
      </w:r>
      <w:r w:rsidR="007F5379">
        <w:rPr>
          <w:bCs/>
          <w:vertAlign w:val="subscript"/>
        </w:rPr>
        <w:t>c</w:t>
      </w:r>
      <w:r w:rsidR="007F5379">
        <w:rPr>
          <w:bCs/>
        </w:rPr>
        <w:t>]</w:t>
      </w:r>
      <w:r w:rsidR="00D263FA">
        <w:rPr>
          <w:bCs/>
        </w:rPr>
        <w:t xml:space="preserve">, represented as a </w:t>
      </w:r>
      <w:r w:rsidR="007F5379" w:rsidRPr="00AF19A0">
        <w:rPr>
          <w:bCs/>
        </w:rPr>
        <w:t xml:space="preserve">solid black line at constant value of zero and various methods to represent uncertainty in </w:t>
      </w:r>
      <w:r w:rsidR="007F5379">
        <w:rPr>
          <w:bCs/>
        </w:rPr>
        <w:t>%N</w:t>
      </w:r>
      <w:r w:rsidR="007F5379">
        <w:rPr>
          <w:bCs/>
          <w:vertAlign w:val="subscript"/>
        </w:rPr>
        <w:t>c</w:t>
      </w:r>
      <w:r w:rsidR="007F5379" w:rsidRPr="00AF19A0">
        <w:rPr>
          <w:bCs/>
        </w:rPr>
        <w:t>. The grey shaded region represents the 90% credible region (lower bound, 5% quantile; upper bound, 95% quantile) for the</w:t>
      </w:r>
      <w:r w:rsidR="007F5379">
        <w:rPr>
          <w:bCs/>
        </w:rPr>
        <w:t xml:space="preserve"> fitted</w:t>
      </w:r>
      <w:r w:rsidR="007F5379" w:rsidRPr="00AF19A0">
        <w:rPr>
          <w:bCs/>
        </w:rPr>
        <w:t xml:space="preserve"> Bayesian hierarchical model. The dotted lines represent an estimation of the upper and lower bound of the 90% credible region </w:t>
      </w:r>
      <w:r w:rsidR="007F5379">
        <w:rPr>
          <w:bCs/>
        </w:rPr>
        <w:t xml:space="preserve">for </w:t>
      </w:r>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(i.e., CNDC</w:t>
      </w:r>
      <w:r w:rsidR="007F5379" w:rsidRPr="00B332EE">
        <w:rPr>
          <w:bCs/>
          <w:vertAlign w:val="subscript"/>
        </w:rPr>
        <w:t>lo</w:t>
      </w:r>
      <w:r w:rsidR="007F5379" w:rsidRPr="00AF19A0">
        <w:rPr>
          <w:bCs/>
        </w:rPr>
        <w:t xml:space="preserve"> and CNDC</w:t>
      </w:r>
      <w:r w:rsidR="007F5379" w:rsidRPr="00B332EE">
        <w:rPr>
          <w:bCs/>
          <w:vertAlign w:val="subscript"/>
        </w:rPr>
        <w:t>up</w:t>
      </w:r>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r w:rsidR="007F5379" w:rsidRPr="005727EC">
        <w:rPr>
          <w:bCs/>
          <w:i/>
          <w:iCs/>
        </w:rPr>
        <w:t>a</w:t>
      </w:r>
      <w:r w:rsidR="007F5379" w:rsidRPr="00AF19A0">
        <w:rPr>
          <w:bCs/>
        </w:rPr>
        <w:t xml:space="preserve"> and </w:t>
      </w:r>
      <w:r w:rsidR="007F5379" w:rsidRPr="005727EC">
        <w:rPr>
          <w:bCs/>
          <w:i/>
          <w:iCs/>
        </w:rPr>
        <w:t>b</w:t>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r w:rsidR="00036310">
        <w:rPr>
          <w:bCs/>
        </w:rPr>
        <w:t>varieties within location</w:t>
      </w:r>
      <w:r w:rsidR="00D263FA">
        <w:rPr>
          <w:bCs/>
        </w:rPr>
        <w:t xml:space="preserve">, and </w:t>
      </w:r>
      <w:r w:rsidR="00D263FA">
        <w:rPr>
          <w:b/>
        </w:rPr>
        <w:t>(b)</w:t>
      </w:r>
      <w:r w:rsidR="00D263FA">
        <w:rPr>
          <w:bCs/>
        </w:rPr>
        <w:t xml:space="preserve"> </w:t>
      </w:r>
      <w:r w:rsidR="002C5553">
        <w:rPr>
          <w:bCs/>
        </w:rPr>
        <w:t>shown in</w:t>
      </w:r>
      <w:r w:rsidR="00D263FA">
        <w:rPr>
          <w:bCs/>
        </w:rPr>
        <w:t xml:space="preserve"> greater detail for Minnesota x Russet Burbank only</w:t>
      </w:r>
      <w:r w:rsidR="002C5553">
        <w:rPr>
          <w:bCs/>
        </w:rPr>
        <w:t xml:space="preserve">. For </w:t>
      </w:r>
      <w:r w:rsidR="002C5553">
        <w:rPr>
          <w:b/>
        </w:rPr>
        <w:t>(b)</w:t>
      </w:r>
      <w:r w:rsidR="002C5553">
        <w:rPr>
          <w:bCs/>
        </w:rPr>
        <w:t>, the solid red lines represent</w:t>
      </w:r>
      <w:r w:rsidR="00036310">
        <w:rPr>
          <w:bCs/>
        </w:rPr>
        <w:t>s</w:t>
      </w:r>
      <w:r w:rsidR="002C5553">
        <w:rPr>
          <w:bCs/>
        </w:rPr>
        <w:t xml:space="preserve">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model</w:t>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(i.e., CNDC</w:t>
      </w:r>
      <w:r w:rsidR="00F65519">
        <w:rPr>
          <w:vertAlign w:val="subscript"/>
        </w:rPr>
        <w:t>lo</w:t>
      </w:r>
      <w:r w:rsidR="00F65519">
        <w:t xml:space="preserve"> and CNDC</w:t>
      </w:r>
      <w:r w:rsidR="00F65519">
        <w:rPr>
          <w:vertAlign w:val="subscript"/>
        </w:rPr>
        <w:t>up</w:t>
      </w:r>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r w:rsidR="00157166">
        <w:t>4</w:t>
      </w:r>
      <w:r w:rsidR="008D3FAA">
        <w:t>b</w:t>
      </w:r>
      <w:r w:rsidR="00F65519">
        <w:t>). However, these fitted CNDC</w:t>
      </w:r>
      <w:r w:rsidR="00F65519">
        <w:rPr>
          <w:vertAlign w:val="subscript"/>
        </w:rPr>
        <w:t>lo</w:t>
      </w:r>
      <w:r w:rsidR="00F65519">
        <w:t xml:space="preserve"> and CNDC</w:t>
      </w:r>
      <w:r w:rsidR="000C5A74">
        <w:rPr>
          <w:vertAlign w:val="subscript"/>
        </w:rPr>
        <w:t>up</w:t>
      </w:r>
      <w:r w:rsidR="00F65519">
        <w:t xml:space="preserve"> curves do not themselves represent a draw directly from the posterior distribution and </w:t>
      </w:r>
      <w:r w:rsidR="007719BA">
        <w:t xml:space="preserve">do not </w:t>
      </w:r>
      <w:r w:rsidR="00F65519">
        <w:t>necessarily represent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w:t>
      </w:r>
      <w:r w:rsidR="00F65519">
        <w:lastRenderedPageBreak/>
        <w:t xml:space="preserve">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7635D87B" w:rsidR="00764781" w:rsidRDefault="00F65519" w:rsidP="00A4354F">
      <w:pPr>
        <w:pStyle w:val="MDPI31text"/>
      </w:pPr>
      <w:r>
        <w:t xml:space="preserve">However, the </w:t>
      </w:r>
      <w:r w:rsidR="00691354">
        <w:t>approximation 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t xml:space="preserve">were found to contain the entire credible region </w:t>
      </w:r>
      <w:r w:rsidR="00A26FDF">
        <w:t>for all varieties within location evaluated</w:t>
      </w:r>
      <w:r>
        <w:t xml:space="preserve"> (</w:t>
      </w:r>
      <w:r w:rsidR="00157166">
        <w:t>Figure 4</w:t>
      </w:r>
      <w:r w:rsidR="00153141">
        <w:t>a</w:t>
      </w:r>
      <w:r>
        <w:t>). Therefore, this estimate approach is quite uninformative and should be used as a last resort to estimate %N</w:t>
      </w:r>
      <w:r>
        <w:rPr>
          <w:vertAlign w:val="subscript"/>
        </w:rPr>
        <w:t>c</w:t>
      </w:r>
      <w:r>
        <w:t xml:space="preserve"> uncertainty is required and the credible region defined from </w:t>
      </w:r>
      <w:r w:rsidR="00691354">
        <w:t xml:space="preserve">either </w:t>
      </w:r>
      <w:r>
        <w:t>the original model fit or from the</w:t>
      </w:r>
      <w:r w:rsidR="00691354">
        <w:t xml:space="preserve"> paired</w:t>
      </w:r>
      <w:r>
        <w:t xml:space="preserve"> CNDC</w:t>
      </w:r>
      <w:r>
        <w:rPr>
          <w:vertAlign w:val="subscript"/>
        </w:rPr>
        <w:t>lo</w:t>
      </w:r>
      <w:r>
        <w:t xml:space="preserve"> or CNDC</w:t>
      </w:r>
      <w:r>
        <w:rPr>
          <w:vertAlign w:val="subscript"/>
        </w:rPr>
        <w:t>up</w:t>
      </w:r>
      <w:r>
        <w:t xml:space="preserve"> curves is unavailable.</w:t>
      </w:r>
    </w:p>
    <w:p w14:paraId="2E8DC185" w14:textId="4E61B7E8" w:rsidR="00F905E8" w:rsidRDefault="00F905E8" w:rsidP="00F905E8">
      <w:pPr>
        <w:pStyle w:val="MDPI31text"/>
      </w:pPr>
      <w:r>
        <w:t>Therefore, in the absence of the credible region defined directly from the fitted hierarchical Bayesian model, the CNDC</w:t>
      </w:r>
      <w:r>
        <w:rPr>
          <w:vertAlign w:val="subscript"/>
        </w:rPr>
        <w:t>lo</w:t>
      </w:r>
      <w:r>
        <w:t xml:space="preserve"> and CNDC</w:t>
      </w:r>
      <w:r>
        <w:rPr>
          <w:vertAlign w:val="subscript"/>
        </w:rPr>
        <w:t>up</w:t>
      </w:r>
      <w:r>
        <w:t xml:space="preserve"> (</w:t>
      </w:r>
      <w:r w:rsidR="0043243C">
        <w:t>Table 1</w:t>
      </w:r>
      <w:r>
        <w:t>) are a suitable first-order representation of the credible region for %N</w:t>
      </w:r>
      <w:r>
        <w:rPr>
          <w:vertAlign w:val="subscript"/>
        </w:rPr>
        <w:t>c</w:t>
      </w:r>
      <w:r>
        <w:t>.</w:t>
      </w:r>
    </w:p>
    <w:p w14:paraId="5DC29832" w14:textId="1ED064A1"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w:t>
      </w:r>
      <w:r w:rsidR="00A26FDF">
        <w:t>variety within location</w:t>
      </w:r>
      <w:r w:rsidR="00580181">
        <w:t xml:space="preserve"> for the median value (CNDC) from the posterior distribution of the fitted hierarchical Bayesian model and </w:t>
      </w:r>
      <w:r w:rsidR="00AB63ED">
        <w:t>the estimate</w:t>
      </w:r>
      <w:r w:rsidR="00580181">
        <w:t xml:space="preserve">s </w:t>
      </w:r>
      <w:r w:rsidR="00AB63ED">
        <w:t>for the credible region lower (CNDC</w:t>
      </w:r>
      <w:r w:rsidR="00AB63ED">
        <w:rPr>
          <w:vertAlign w:val="subscript"/>
        </w:rPr>
        <w:t>lo</w:t>
      </w:r>
      <w:r w:rsidR="00AB63ED">
        <w:t>) and upper (CNDC</w:t>
      </w:r>
      <w:r w:rsidR="00AB63ED">
        <w:rPr>
          <w:vertAlign w:val="subscript"/>
        </w:rPr>
        <w:t>up</w:t>
      </w:r>
      <w:r w:rsidR="00AB63ED">
        <w:t>) boundaries.</w:t>
      </w:r>
    </w:p>
    <w:tbl>
      <w:tblPr>
        <w:tblStyle w:val="TableGrid"/>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r w:rsidRPr="00F87C21">
              <w:rPr>
                <w:b/>
                <w:bCs/>
                <w:u w:val="single"/>
              </w:rPr>
              <w:t>CNDC</w:t>
            </w:r>
            <w:r w:rsidRPr="00F87C21">
              <w:rPr>
                <w:b/>
                <w:bCs/>
                <w:u w:val="single"/>
                <w:vertAlign w:val="subscript"/>
              </w:rPr>
              <w:t>lo</w:t>
            </w:r>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r w:rsidRPr="00F87C21">
              <w:rPr>
                <w:b/>
                <w:bCs/>
                <w:u w:val="single"/>
              </w:rPr>
              <w:t>CNDC</w:t>
            </w:r>
            <w:r w:rsidRPr="00F87C21">
              <w:rPr>
                <w:b/>
                <w:bCs/>
                <w:u w:val="single"/>
                <w:vertAlign w:val="subscript"/>
              </w:rPr>
              <w:t>up</w:t>
            </w:r>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r>
              <w:rPr>
                <w:i/>
                <w:iCs/>
              </w:rPr>
              <w:t>a</w:t>
            </w:r>
            <w:r>
              <w:rPr>
                <w:i/>
                <w:iCs/>
                <w:vertAlign w:val="subscript"/>
              </w:rPr>
              <w:t>lo</w:t>
            </w:r>
          </w:p>
        </w:tc>
        <w:tc>
          <w:tcPr>
            <w:tcW w:w="778" w:type="dxa"/>
            <w:tcBorders>
              <w:bottom w:val="single" w:sz="4" w:space="0" w:color="auto"/>
            </w:tcBorders>
          </w:tcPr>
          <w:p w14:paraId="12E07CF1" w14:textId="23300BF4" w:rsidR="003E1888" w:rsidRDefault="003E1888" w:rsidP="00AB63ED">
            <w:pPr>
              <w:pStyle w:val="MDPI42tablebody"/>
            </w:pPr>
            <w:r>
              <w:rPr>
                <w:i/>
                <w:iCs/>
              </w:rPr>
              <w:t>b</w:t>
            </w:r>
            <w:r>
              <w:rPr>
                <w:i/>
                <w:iCs/>
                <w:vertAlign w:val="subscript"/>
              </w:rPr>
              <w:t>lo</w:t>
            </w:r>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r>
              <w:rPr>
                <w:i/>
                <w:iCs/>
              </w:rPr>
              <w:t>a</w:t>
            </w:r>
            <w:r>
              <w:rPr>
                <w:i/>
                <w:iCs/>
                <w:vertAlign w:val="subscript"/>
              </w:rPr>
              <w:t>up</w:t>
            </w:r>
          </w:p>
        </w:tc>
        <w:tc>
          <w:tcPr>
            <w:tcW w:w="778" w:type="dxa"/>
            <w:tcBorders>
              <w:bottom w:val="single" w:sz="4" w:space="0" w:color="auto"/>
            </w:tcBorders>
          </w:tcPr>
          <w:p w14:paraId="6B355DE7" w14:textId="64036A91" w:rsidR="003E1888" w:rsidRDefault="003E1888" w:rsidP="00AB63ED">
            <w:pPr>
              <w:pStyle w:val="MDPI42tablebody"/>
            </w:pPr>
            <w:r>
              <w:rPr>
                <w:i/>
                <w:iCs/>
              </w:rPr>
              <w:t>b</w:t>
            </w:r>
            <w:r>
              <w:rPr>
                <w:i/>
                <w:iCs/>
                <w:vertAlign w:val="subscript"/>
              </w:rPr>
              <w:t>up</w:t>
            </w:r>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r w:rsidRPr="001D2AA6">
              <w:t>Markies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r w:rsidRPr="001D2AA6">
              <w:t>Shepody</w:t>
            </w:r>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052602DF" w:rsidR="007F5FFB" w:rsidRDefault="007F5FFB" w:rsidP="007F5FFB">
      <w:pPr>
        <w:pStyle w:val="MDPI31text"/>
      </w:pPr>
      <w:r>
        <w:t xml:space="preserve">While an evaluation of the </w:t>
      </w:r>
      <w:r w:rsidR="00404410">
        <w:t xml:space="preserve">pairwise </w:t>
      </w:r>
      <w:r>
        <w:t xml:space="preserve">differences between </w:t>
      </w:r>
      <w:r w:rsidR="00A26FDF">
        <w:t>all varieties within location</w:t>
      </w:r>
      <w:r>
        <w:t xml:space="preserve"> was conducted and is presented in the Supplemental Materials (Figure S2), a subset of the results comparing Minnesota x Russet Burbank to all other</w:t>
      </w:r>
      <w:r w:rsidR="00404410">
        <w:t xml:space="preserve"> varieties within location</w:t>
      </w:r>
      <w:r>
        <w:t xml:space="preserve">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Shepody) were significantly greater than that for Minnesota x Russet Burbank when biomass values were greater than 2 Mg ha</w:t>
      </w:r>
      <w:r>
        <w:rPr>
          <w:vertAlign w:val="superscript"/>
        </w:rPr>
        <w:t>-1</w:t>
      </w:r>
      <w:r>
        <w:t>. The %N</w:t>
      </w:r>
      <w:r>
        <w:rPr>
          <w:vertAlign w:val="subscript"/>
        </w:rPr>
        <w:t>c</w:t>
      </w:r>
      <w:r>
        <w:t xml:space="preserve"> for Canada x Russet Burbank and Canada x Shepody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Markies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7777777" w:rsidR="00A4354F" w:rsidRDefault="00A4354F" w:rsidP="00A4354F">
      <w:pPr>
        <w:pStyle w:val="MDPI52figure"/>
        <w:ind w:left="2610" w:right="26"/>
        <w:jc w:val="left"/>
      </w:pPr>
      <w:r>
        <w:rPr>
          <w:noProof/>
          <w:snapToGrid/>
        </w:rPr>
        <w:lastRenderedPageBreak/>
        <w:drawing>
          <wp:inline distT="0" distB="0" distL="0" distR="0" wp14:anchorId="379E763E" wp14:editId="552AF2A0">
            <wp:extent cx="5010912" cy="3340448"/>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67C48AE9"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w:t>
      </w:r>
      <w:r w:rsidR="00A777EC">
        <w:rPr>
          <w:bCs/>
        </w:rPr>
        <w:t>varieties within location</w:t>
      </w:r>
      <w:r w:rsidR="00A4354F">
        <w:rPr>
          <w:bCs/>
        </w:rPr>
        <w:t xml:space="preserve"> </w:t>
      </w:r>
      <w:r w:rsidR="00A4354F" w:rsidRPr="00775CA3">
        <w:rPr>
          <w:bCs/>
        </w:rPr>
        <w:t xml:space="preserve">evaluated in the present study. The grey shaded region represents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represent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r w:rsidR="00A4354F" w:rsidRPr="00775CA3">
        <w:rPr>
          <w:bCs/>
        </w:rPr>
        <w:t xml:space="preserve"> </w:t>
      </w:r>
      <w:r w:rsidR="00A4354F">
        <w:rPr>
          <w:bCs/>
        </w:rPr>
        <w:t xml:space="preserve">respectively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represents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contains zero) </w:t>
      </w:r>
      <w:r w:rsidR="00A4354F" w:rsidRPr="00775CA3">
        <w:rPr>
          <w:bCs/>
        </w:rPr>
        <w:t>is given in brackets.</w:t>
      </w:r>
    </w:p>
    <w:p w14:paraId="062BB73F" w14:textId="782860F1"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w:t>
      </w:r>
      <w:r w:rsidR="00A777EC">
        <w:t>for all varieties within location evaluated</w:t>
      </w:r>
      <w:r>
        <w:t>,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4A3F9010" w:rsidR="00103013" w:rsidRDefault="00103013" w:rsidP="00103013">
      <w:pPr>
        <w:pStyle w:val="MDPI31text"/>
      </w:pPr>
      <w:r>
        <w:t xml:space="preserve">Taken together, these findings provide evidence that the effect of E (i.e., </w:t>
      </w:r>
      <w:r w:rsidRPr="00A777EC">
        <w:t>location</w:t>
      </w:r>
      <w:r>
        <w:t xml:space="preserve">), even when controlling for G (i.e., </w:t>
      </w:r>
      <w:r w:rsidR="00A777EC">
        <w:t>variety</w:t>
      </w:r>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Therefore, these findings suggest that E is relatively more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0DDEFD5E" w:rsidR="000C535B" w:rsidRDefault="000C535B" w:rsidP="000C535B">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w:t>
      </w:r>
      <w:r w:rsidR="00A777EC">
        <w:t>varieties within location evaluated</w:t>
      </w:r>
      <w:r>
        <w:t xml:space="preserve"> (</w:t>
      </w:r>
      <w:r w:rsidR="00157166">
        <w:t>Figure 6</w:t>
      </w:r>
      <w:r>
        <w:t xml:space="preserve">). None of the previous CNDCs fall entirely within credible </w:t>
      </w:r>
      <w:r w:rsidR="006A6E05">
        <w:t>region</w:t>
      </w:r>
      <w:r>
        <w:t xml:space="preserve"> for the respective CNDC developed in the present study.</w:t>
      </w:r>
    </w:p>
    <w:p w14:paraId="0B934610" w14:textId="77777777" w:rsidR="00103013" w:rsidRDefault="00103013" w:rsidP="00103013">
      <w:pPr>
        <w:pStyle w:val="MDPI52figure"/>
        <w:ind w:left="2610" w:right="26"/>
        <w:jc w:val="left"/>
        <w:rPr>
          <w:b/>
        </w:rPr>
      </w:pPr>
      <w:r w:rsidRPr="00775CA3">
        <w:rPr>
          <w:noProof/>
        </w:rPr>
        <w:lastRenderedPageBreak/>
        <w:drawing>
          <wp:inline distT="0" distB="0" distL="0" distR="0" wp14:anchorId="3AAADBC2" wp14:editId="47BD83DB">
            <wp:extent cx="5010912" cy="2338361"/>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2338361"/>
                    </a:xfrm>
                    <a:prstGeom prst="rect">
                      <a:avLst/>
                    </a:prstGeom>
                  </pic:spPr>
                </pic:pic>
              </a:graphicData>
            </a:graphic>
          </wp:inline>
        </w:drawing>
      </w:r>
    </w:p>
    <w:p w14:paraId="2BF39514" w14:textId="34D4D13B" w:rsidR="00103013" w:rsidRDefault="00157166" w:rsidP="00103013">
      <w:pPr>
        <w:pStyle w:val="MDPI51figurecaption"/>
        <w:ind w:left="2610" w:right="26"/>
        <w:jc w:val="both"/>
        <w:rPr>
          <w:bCs/>
        </w:rPr>
      </w:pPr>
      <w:r>
        <w:rPr>
          <w:b/>
        </w:rPr>
        <w:t>Figure 6</w:t>
      </w:r>
      <w:r w:rsidR="00103013" w:rsidRPr="00775CA3">
        <w:rPr>
          <w:b/>
        </w:rPr>
        <w:t>.</w:t>
      </w:r>
      <w:r w:rsidR="00103013" w:rsidRPr="00775CA3">
        <w:rPr>
          <w:bCs/>
        </w:rPr>
        <w:t xml:space="preserve"> Comparison of the difference in critical N concentration values</w:t>
      </w:r>
      <w:r w:rsidR="00103013">
        <w:rPr>
          <w:bCs/>
        </w:rPr>
        <w:t xml:space="preserve"> </w:t>
      </w:r>
      <w:r w:rsidR="00103013" w:rsidRPr="00775CA3">
        <w:rPr>
          <w:bCs/>
        </w:rPr>
        <w:t>[</w:t>
      </w:r>
      <w:r w:rsidR="00103013">
        <w:rPr>
          <w:bCs/>
        </w:rPr>
        <w:t>∆</w:t>
      </w:r>
      <w:r w:rsidR="00103013" w:rsidRPr="00775CA3">
        <w:rPr>
          <w:bCs/>
        </w:rPr>
        <w:t>%N</w:t>
      </w:r>
      <w:r w:rsidR="00103013">
        <w:rPr>
          <w:bCs/>
          <w:vertAlign w:val="subscript"/>
        </w:rPr>
        <w:t>c</w:t>
      </w:r>
      <w:r w:rsidR="00103013" w:rsidRPr="00775CA3">
        <w:rPr>
          <w:bCs/>
        </w:rPr>
        <w:t xml:space="preserve">] </w:t>
      </w:r>
      <w:r w:rsidR="00103013">
        <w:rPr>
          <w:bCs/>
        </w:rPr>
        <w:t xml:space="preserve">between </w:t>
      </w:r>
      <w:r w:rsidR="00103013" w:rsidRPr="00775CA3">
        <w:rPr>
          <w:bCs/>
        </w:rPr>
        <w:t>the</w:t>
      </w:r>
      <w:r w:rsidR="00103013">
        <w:rPr>
          <w:bCs/>
        </w:rPr>
        <w:t xml:space="preserve"> conventional statistical methods used in previous studies </w:t>
      </w:r>
      <w:r w:rsidR="00103013" w:rsidRPr="00D73918">
        <w:t xml:space="preserve">(i.e., Argentina – </w:t>
      </w:r>
      <w:r w:rsidR="00103013" w:rsidRPr="00D73918">
        <w:fldChar w:fldCharType="begin"/>
      </w:r>
      <w:r w:rsidR="00103013" w:rsidRPr="00D73918">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D73918">
        <w:fldChar w:fldCharType="separate"/>
      </w:r>
      <w:r w:rsidR="00103013" w:rsidRPr="00D73918">
        <w:t>Giletto and Echeverría [16]</w:t>
      </w:r>
      <w:r w:rsidR="00103013" w:rsidRPr="00D73918">
        <w:fldChar w:fldCharType="end"/>
      </w:r>
      <w:r w:rsidR="00103013" w:rsidRPr="00D73918">
        <w:t xml:space="preserve">; Belgium – </w:t>
      </w:r>
      <w:r w:rsidR="00103013" w:rsidRPr="00D73918">
        <w:fldChar w:fldCharType="begin"/>
      </w:r>
      <w:r w:rsidR="00103013" w:rsidRPr="00D73918">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D73918">
        <w:fldChar w:fldCharType="separate"/>
      </w:r>
      <w:r w:rsidR="00103013" w:rsidRPr="00D73918">
        <w:t>Ben Abdallah, et al. [14]</w:t>
      </w:r>
      <w:r w:rsidR="00103013" w:rsidRPr="00D73918">
        <w:fldChar w:fldCharType="end"/>
      </w:r>
      <w:r w:rsidR="00103013" w:rsidRPr="00D73918">
        <w:t xml:space="preserve">; Canada – </w:t>
      </w:r>
      <w:r w:rsidR="00103013" w:rsidRPr="00D73918">
        <w:fldChar w:fldCharType="begin"/>
      </w:r>
      <w:r w:rsidR="00103013" w:rsidRPr="00D73918">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D73918">
        <w:fldChar w:fldCharType="separate"/>
      </w:r>
      <w:r w:rsidR="00103013" w:rsidRPr="00D73918">
        <w:t>Bélanger, et al. [15]</w:t>
      </w:r>
      <w:r w:rsidR="00103013" w:rsidRPr="00D73918">
        <w:fldChar w:fldCharType="end"/>
      </w:r>
      <w:r w:rsidR="00103013" w:rsidRPr="00D73918">
        <w:t xml:space="preserve">) </w:t>
      </w:r>
      <w:r w:rsidR="00103013">
        <w:rPr>
          <w:bCs/>
        </w:rPr>
        <w:t>and the hierarchical Bayesian method used in the present study</w:t>
      </w:r>
      <w:r w:rsidR="00103013" w:rsidRPr="00775CA3">
        <w:rPr>
          <w:bCs/>
        </w:rPr>
        <w:t xml:space="preserve"> for each </w:t>
      </w:r>
      <w:r w:rsidR="00A777EC">
        <w:rPr>
          <w:bCs/>
        </w:rPr>
        <w:t>variety within location</w:t>
      </w:r>
      <w:r w:rsidR="00103013" w:rsidRPr="00775CA3">
        <w:rPr>
          <w:bCs/>
        </w:rPr>
        <w:t>. The grey shaded region represents the 90% credible region (lower bound, 5% quantile; upper bound, 95% quantile) for</w:t>
      </w:r>
      <w:r w:rsidR="00103013">
        <w:rPr>
          <w:bCs/>
        </w:rPr>
        <w:t xml:space="preserve"> %N</w:t>
      </w:r>
      <w:r w:rsidR="00103013">
        <w:rPr>
          <w:bCs/>
          <w:vertAlign w:val="subscript"/>
        </w:rPr>
        <w:t>c</w:t>
      </w:r>
      <w:r w:rsidR="00103013">
        <w:rPr>
          <w:bCs/>
        </w:rPr>
        <w:t xml:space="preserve"> </w:t>
      </w:r>
      <w:r w:rsidR="00103013" w:rsidRPr="00775CA3">
        <w:rPr>
          <w:bCs/>
        </w:rPr>
        <w:t>and the black solid line represents the median value for</w:t>
      </w:r>
      <w:r w:rsidR="00103013">
        <w:rPr>
          <w:bCs/>
        </w:rPr>
        <w:t xml:space="preserve"> %N</w:t>
      </w:r>
      <w:r w:rsidR="00103013">
        <w:rPr>
          <w:bCs/>
          <w:vertAlign w:val="subscript"/>
        </w:rPr>
        <w:t>c</w:t>
      </w:r>
      <w:r w:rsidR="00103013">
        <w:rPr>
          <w:bCs/>
        </w:rPr>
        <w:t xml:space="preserve"> derived in the present study. </w:t>
      </w:r>
      <w:r w:rsidR="00103013" w:rsidRPr="00775CA3">
        <w:rPr>
          <w:bCs/>
        </w:rPr>
        <w:t xml:space="preserve">Red or blue points respectively indicate that </w:t>
      </w:r>
      <w:r w:rsidR="00103013">
        <w:rPr>
          <w:bCs/>
        </w:rPr>
        <w:t>∆</w:t>
      </w:r>
      <w:r w:rsidR="00103013" w:rsidRPr="00775CA3">
        <w:rPr>
          <w:bCs/>
        </w:rPr>
        <w:t>%N</w:t>
      </w:r>
      <w:r w:rsidR="00103013">
        <w:rPr>
          <w:bCs/>
          <w:vertAlign w:val="subscript"/>
        </w:rPr>
        <w:t>c</w:t>
      </w:r>
      <w:r w:rsidR="00103013" w:rsidRPr="00775CA3">
        <w:rPr>
          <w:bCs/>
        </w:rPr>
        <w:t xml:space="preserve"> falls outside </w:t>
      </w:r>
      <w:r w:rsidR="00103013">
        <w:rPr>
          <w:bCs/>
        </w:rPr>
        <w:t xml:space="preserve">of (i.e., is significant) or </w:t>
      </w:r>
      <w:r w:rsidR="00103013" w:rsidRPr="00775CA3">
        <w:rPr>
          <w:bCs/>
        </w:rPr>
        <w:t xml:space="preserve">falls within </w:t>
      </w:r>
      <w:r w:rsidR="00103013">
        <w:rPr>
          <w:bCs/>
        </w:rPr>
        <w:t xml:space="preserve">(i.e., is not significant) </w:t>
      </w:r>
      <w:r w:rsidR="00103013" w:rsidRPr="00775CA3">
        <w:rPr>
          <w:bCs/>
        </w:rPr>
        <w:t>the credible region</w:t>
      </w:r>
      <w:r w:rsidR="00103013">
        <w:rPr>
          <w:bCs/>
        </w:rPr>
        <w:t xml:space="preserve"> for %N</w:t>
      </w:r>
      <w:r w:rsidR="00103013">
        <w:rPr>
          <w:bCs/>
          <w:vertAlign w:val="subscript"/>
        </w:rPr>
        <w:t>c</w:t>
      </w:r>
      <w:r w:rsidR="00103013" w:rsidRPr="00775CA3">
        <w:rPr>
          <w:bCs/>
        </w:rPr>
        <w:t xml:space="preserve">. The range of biomass values for which </w:t>
      </w:r>
      <w:r w:rsidR="00103013">
        <w:rPr>
          <w:bCs/>
        </w:rPr>
        <w:t>∆%N</w:t>
      </w:r>
      <w:r w:rsidR="00103013">
        <w:rPr>
          <w:bCs/>
          <w:vertAlign w:val="subscript"/>
        </w:rPr>
        <w:t>c</w:t>
      </w:r>
      <w:r w:rsidR="00103013">
        <w:rPr>
          <w:bCs/>
        </w:rPr>
        <w:t xml:space="preserve"> </w:t>
      </w:r>
      <w:r w:rsidR="00103013" w:rsidRPr="00775CA3">
        <w:rPr>
          <w:bCs/>
        </w:rPr>
        <w:t>in not significant</w:t>
      </w:r>
      <w:r w:rsidR="00103013">
        <w:rPr>
          <w:bCs/>
        </w:rPr>
        <w:t xml:space="preserve"> </w:t>
      </w:r>
      <w:r w:rsidR="00103013" w:rsidRPr="00775CA3">
        <w:rPr>
          <w:bCs/>
        </w:rPr>
        <w:t>is given in brackets.</w:t>
      </w:r>
    </w:p>
    <w:p w14:paraId="4785CE92" w14:textId="139AAAC5" w:rsidR="000C535B" w:rsidRDefault="000C535B" w:rsidP="000C535B">
      <w:pPr>
        <w:pStyle w:val="MDPI31text"/>
      </w:pPr>
      <w:r>
        <w:t>The %N</w:t>
      </w:r>
      <w:r>
        <w:rPr>
          <w:vertAlign w:val="subscript"/>
        </w:rPr>
        <w:t>c</w:t>
      </w:r>
      <w:r>
        <w:t xml:space="preserve"> from the previously developed CNDCs for the Argentina varieties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The magnitude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 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Giletto and Echeverría [16]</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601B62C2" w:rsidR="000C535B" w:rsidRDefault="000C535B" w:rsidP="000C535B">
      <w:pPr>
        <w:pStyle w:val="MDPI31text"/>
      </w:pPr>
      <w:r>
        <w:t>The %N</w:t>
      </w:r>
      <w:r>
        <w:rPr>
          <w:vertAlign w:val="subscript"/>
        </w:rPr>
        <w:t>c</w:t>
      </w:r>
      <w:r>
        <w:t xml:space="preserve"> from the previously developed CNDCs for Belgium </w:t>
      </w:r>
      <w:r>
        <w:fldChar w:fldCharType="begin"/>
      </w:r>
      <w:r>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w:t>
      </w:r>
      <w:r>
        <w:fldChar w:fldCharType="end"/>
      </w:r>
      <w:r>
        <w:t xml:space="preserve"> were significantly greater than that from the CNDCs developed in the present study (</w:t>
      </w:r>
      <w:r w:rsidR="00157166">
        <w:t>Figure 6</w:t>
      </w:r>
      <w:r>
        <w:t>). While the magnitude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 in the present study for the Belgium varieties (</w:t>
      </w:r>
      <w:r w:rsidR="00157166">
        <w:t>Figure 3</w:t>
      </w:r>
      <w:r>
        <w:t xml:space="preserve">), more than 80% of the observed data fall above the CNDC (i.e., represent non-N limiting conditions) with almost 30% of sampling dates having exclusively non-N limiting conditions observed (Figure S1). Therefore, it appears that the statistical methods used by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5CB0906F" w14:textId="5B99D7F3" w:rsidR="00084BC1" w:rsidRPr="00103013" w:rsidRDefault="000C535B" w:rsidP="00030116">
      <w:pPr>
        <w:pStyle w:val="MDPI31text"/>
      </w:pPr>
      <w:r>
        <w:t>The %N</w:t>
      </w:r>
      <w:r>
        <w:rPr>
          <w:vertAlign w:val="subscript"/>
        </w:rPr>
        <w:t>c</w:t>
      </w:r>
      <w:r>
        <w:t xml:space="preserve"> from the previously developed CNDCs for Canada </w:t>
      </w:r>
      <w:r>
        <w:fldChar w:fldCharType="begin"/>
      </w:r>
      <w:r>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[15]</w:t>
      </w:r>
      <w:r>
        <w:fldChar w:fldCharType="end"/>
      </w:r>
      <w:r>
        <w:t xml:space="preserve"> was significantly greater for both Canada x Russet Burbank and Canada x Shepody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Relative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Based on the CNDCs fitted in the present study for the Canada varieties (</w:t>
      </w:r>
      <w:r w:rsidR="00157166">
        <w:t>Figure 3</w:t>
      </w:r>
      <w:r>
        <w:t xml:space="preserve">), over 60% of observed data represented non-N limiting conditions but less than 10% of sampling dates had exclusively non-N limiting conditions observed (Figure S1). Therefore, it </w:t>
      </w:r>
      <w:r>
        <w:lastRenderedPageBreak/>
        <w:t xml:space="preserve">appears that the statistical method used by </w:t>
      </w:r>
      <w:r>
        <w:fldChar w:fldCharType="begin"/>
      </w:r>
      <w:r>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Bélanger, et al. [15]</w:t>
      </w:r>
      <w:r>
        <w:fldChar w:fldCharType="end"/>
      </w:r>
      <w:r>
        <w:t xml:space="preserve"> did not select biased critical points likely due to the minimal bias observed in this experimental </w:t>
      </w:r>
      <w:commentRangeStart w:id="0"/>
      <w:commentRangeStart w:id="1"/>
      <w:r>
        <w:t>dataset</w:t>
      </w:r>
      <w:commentRangeEnd w:id="0"/>
      <w:r w:rsidR="0023464E">
        <w:rPr>
          <w:rStyle w:val="CommentReference"/>
          <w:rFonts w:eastAsia="SimSun"/>
          <w:noProof/>
          <w:snapToGrid/>
          <w:lang w:eastAsia="zh-CN" w:bidi="ar-SA"/>
        </w:rPr>
        <w:commentReference w:id="0"/>
      </w:r>
      <w:commentRangeEnd w:id="1"/>
      <w:r w:rsidR="0023464E">
        <w:rPr>
          <w:rStyle w:val="CommentReference"/>
          <w:rFonts w:eastAsia="SimSun"/>
          <w:noProof/>
          <w:snapToGrid/>
          <w:lang w:eastAsia="zh-CN" w:bidi="ar-SA"/>
        </w:rPr>
        <w:commentReference w:id="1"/>
      </w:r>
      <w:r>
        <w:t>.</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03D1143B"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demonstrated that interpreting NUE and its constituent component of N utilization efficiency [NUtE] is directly related to the parameters of the CNDC through the critical N utilization efficiency curve [CNUtEC] which defines the critical value of NUtE [NUtE</w:t>
      </w:r>
      <w:r>
        <w:rPr>
          <w:vertAlign w:val="subscript"/>
        </w:rPr>
        <w:t>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r>
              <w:t>NUtE</w:t>
            </w:r>
            <w:r>
              <w:rPr>
                <w:vertAlign w:val="subscript"/>
              </w:rPr>
              <w:t>c</w:t>
            </w:r>
            <w:r>
              <w:t xml:space="preserve"> = 1000 (10 a W</w:t>
            </w:r>
            <w:r w:rsidRPr="00A33A19">
              <w:rPr>
                <w:vertAlign w:val="superscript"/>
              </w:rPr>
              <w:t>–b</w:t>
            </w:r>
            <w:r>
              <w:t>)</w:t>
            </w:r>
            <w:r>
              <w:rPr>
                <w:vertAlign w:val="superscript"/>
              </w:rPr>
              <w:t>–1</w:t>
            </w:r>
          </w:p>
        </w:tc>
        <w:tc>
          <w:tcPr>
            <w:tcW w:w="431" w:type="dxa"/>
            <w:vAlign w:val="center"/>
            <w:hideMark/>
          </w:tcPr>
          <w:p w14:paraId="68F954AB" w14:textId="1F58609C" w:rsidR="00CD53DC" w:rsidRDefault="00CD53DC" w:rsidP="002B49B4">
            <w:pPr>
              <w:pStyle w:val="MDPI3aequationnumber"/>
              <w:spacing w:line="260" w:lineRule="atLeast"/>
            </w:pPr>
            <w:r>
              <w:t>(</w:t>
            </w:r>
            <w:r w:rsidR="009A564C">
              <w:t>2</w:t>
            </w:r>
            <w:r>
              <w:t>)</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r>
        <w:rPr>
          <w:i/>
          <w:iCs/>
        </w:rPr>
        <w:t>W</w:t>
      </w:r>
      <w:r>
        <w:t xml:space="preserve"> have the same meaning and units as previously defined in the present study. When NUtE is greater than NUtE</w:t>
      </w:r>
      <w:r>
        <w:rPr>
          <w:vertAlign w:val="subscript"/>
        </w:rPr>
        <w:t>c</w:t>
      </w:r>
      <w:r>
        <w:t>, crop N status is deficient (i.e., NNI less than 1); conversely, when NUtE is less than NUtE</w:t>
      </w:r>
      <w:r>
        <w:rPr>
          <w:vertAlign w:val="subscript"/>
        </w:rPr>
        <w:t>c</w:t>
      </w:r>
      <w:r>
        <w:t>, crop N status is excessive (i.e., NNI greater than 1).</w:t>
      </w:r>
    </w:p>
    <w:p w14:paraId="20C7DDC1" w14:textId="797ABBAC" w:rsidR="00CD53DC" w:rsidRDefault="00CD53DC" w:rsidP="00CD53DC">
      <w:pPr>
        <w:pStyle w:val="MDPI31text"/>
      </w:pPr>
      <w:r>
        <w:t xml:space="preserve">The finding in the present study that the CNDC can vary across G x E effects and the finding from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of the intrinsic relationship between NUE and the CNDC together lead to the conclusion that the CNUtEC must also vary across the same G x E effects as the CNDC. Therefore, the effect of G x E on variation of NUtE</w:t>
      </w:r>
      <w:r w:rsidRPr="00255B2D">
        <w:rPr>
          <w:vertAlign w:val="subscript"/>
        </w:rPr>
        <w:t>c</w:t>
      </w:r>
      <w:r>
        <w:t xml:space="preserve"> is one of the multiple set of factors that ultimately control NUE. Understanding and accounting for the G x E effect on the CNUtEC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1D41D4A3" w:rsidR="00CD53DC" w:rsidRDefault="00CD53DC" w:rsidP="00CD53DC">
      <w:pPr>
        <w:pStyle w:val="MDPI31text"/>
      </w:pPr>
      <w:r>
        <w:t xml:space="preserve">While the present study presents direct evidence of significant differences between CNDCs for potato across G x E effects, other previous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w:t>
      </w:r>
      <w:r w:rsidR="004E2E4A">
        <w:t>result in</w:t>
      </w:r>
      <w:r>
        <w:t xml:space="preserve"> greater N dilution (i.e., lower %N</w:t>
      </w:r>
      <w:r>
        <w:rPr>
          <w:vertAlign w:val="subscript"/>
        </w:rPr>
        <w:t>c</w:t>
      </w:r>
      <w:r>
        <w:t>) at the same level of total plant biomass.</w:t>
      </w:r>
    </w:p>
    <w:p w14:paraId="779778FC" w14:textId="3621FF89" w:rsidR="00CD53DC" w:rsidRDefault="00CD53DC" w:rsidP="00CD53DC">
      <w:pPr>
        <w:pStyle w:val="MDPI31text"/>
      </w:pPr>
      <w:r>
        <w:t xml:space="preserve">Following from the above discussion of the CNUtEC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increases the NUtE</w:t>
      </w:r>
      <w:r>
        <w:rPr>
          <w:vertAlign w:val="subscript"/>
        </w:rPr>
        <w:t>c</w:t>
      </w:r>
      <w:r>
        <w:t xml:space="preserve"> value. Therefore, efforts to systematically improve NUE in potato should focus on identifying G x E interactions that result in an increased proportion of biomass partitioned to tubers.</w:t>
      </w:r>
    </w:p>
    <w:p w14:paraId="51550150" w14:textId="72FBA1A1" w:rsidR="00E117A9" w:rsidRDefault="00E117A9" w:rsidP="00E117A9">
      <w:pPr>
        <w:pStyle w:val="MDPI31text"/>
      </w:pPr>
      <w:r>
        <w:t>Additionally, based on the larger magnitude of differences in %N</w:t>
      </w:r>
      <w:r>
        <w:rPr>
          <w:vertAlign w:val="subscript"/>
        </w:rPr>
        <w:t>c</w:t>
      </w:r>
      <w:r>
        <w:t xml:space="preserve"> between </w:t>
      </w:r>
      <w:r w:rsidR="000012B2" w:rsidRPr="003A6A5F">
        <w:t>l</w:t>
      </w:r>
      <w:r w:rsidRPr="003A6A5F">
        <w:t>ocations</w:t>
      </w:r>
      <w:r>
        <w:t xml:space="preserve"> (i.e., E) compared to differences between </w:t>
      </w:r>
      <w:r w:rsidR="003A6A5F">
        <w:t>variet</w:t>
      </w:r>
      <w:r w:rsidR="004E2E4A">
        <w:t>ies</w:t>
      </w:r>
      <w:r w:rsidR="003A6A5F">
        <w:t xml:space="preserve"> within a location </w:t>
      </w:r>
      <w:r>
        <w:t>(i.e., G) observed in this study (</w:t>
      </w:r>
      <w:r w:rsidR="00157166">
        <w:t>Figure 5</w:t>
      </w:r>
      <w:r>
        <w:t xml:space="preserve">,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interactions, but did not independent report either G or E effects. In any case, the magnitude of the difference in </w:t>
      </w:r>
      <w:r>
        <w:lastRenderedPageBreak/>
        <w:t>%N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t>Therefore, the impact of E on %N</w:t>
      </w:r>
      <w:r>
        <w:rPr>
          <w:vertAlign w:val="subscript"/>
        </w:rPr>
        <w:t>c</w:t>
      </w:r>
      <w:r>
        <w:t xml:space="preserve"> is not </w:t>
      </w:r>
      <w:r w:rsidR="00E3035F">
        <w:t>just</w:t>
      </w:r>
      <w:r>
        <w:t xml:space="preserve"> significant for potato, but is also of much greater relative importance </w:t>
      </w:r>
      <w:r w:rsidR="00DC530F">
        <w:t>compared to</w:t>
      </w:r>
      <w:r>
        <w:t xml:space="preserve"> other major crops (e.g., wheat, maize).</w:t>
      </w:r>
      <w:r w:rsidR="00DC530F">
        <w:t xml:space="preserve"> Due to the magnitude of this variability</w:t>
      </w:r>
      <w:r>
        <w:t>, accounting for variation in %N</w:t>
      </w:r>
      <w:r>
        <w:rPr>
          <w:vertAlign w:val="subscript"/>
        </w:rPr>
        <w:t>c</w:t>
      </w:r>
      <w:r>
        <w:t xml:space="preserve"> </w:t>
      </w:r>
      <w:r w:rsidR="00DC530F">
        <w:t xml:space="preserve">due to G x E interactions </w:t>
      </w:r>
      <w:r>
        <w:t>when evaluating NUE is relatively more important for potato. In order to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23C966C8"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is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subsequent calculations should include this inherent uncertainty. However, the direct use of the credible region defined from posterior distribution of the fitted Baysian hierarchical model in subsequent calculations is impractical and a method to concisely and accurately communicate the credible region remains necessary.</w:t>
      </w:r>
    </w:p>
    <w:p w14:paraId="54D67BEE" w14:textId="76384610" w:rsidR="00DE4358" w:rsidRDefault="00DE4358" w:rsidP="00DE4358">
      <w:pPr>
        <w:pStyle w:val="MDPI31text"/>
      </w:pPr>
      <w:r>
        <w:t>Our finding that the credible region can be satisfactorily estimated using an equation of the same form as the CNDC (</w:t>
      </w:r>
      <w:r w:rsidR="00157166">
        <w:t>Figure 4</w:t>
      </w:r>
      <w:r>
        <w:t xml:space="preserve">) suggest that an additional </w:t>
      </w:r>
      <w:r w:rsidR="0048190A">
        <w:t>pair of</w:t>
      </w:r>
      <w:r>
        <w:t xml:space="preserve"> negative exponential curves representing the upper and lower boundary of the credible region </w:t>
      </w:r>
      <w:r w:rsidR="0048190A">
        <w:t>for %N</w:t>
      </w:r>
      <w:r w:rsidR="0048190A">
        <w:rPr>
          <w:vertAlign w:val="subscript"/>
        </w:rPr>
        <w:t>c</w:t>
      </w:r>
      <w:r w:rsidR="0048190A">
        <w:t xml:space="preserve"> (i.e., CNDC</w:t>
      </w:r>
      <w:r w:rsidR="0048190A">
        <w:rPr>
          <w:vertAlign w:val="subscript"/>
        </w:rPr>
        <w:t>lo</w:t>
      </w:r>
      <w:r w:rsidR="0048190A">
        <w:t xml:space="preserve"> and CNDC</w:t>
      </w:r>
      <w:r w:rsidR="0048190A">
        <w:rPr>
          <w:vertAlign w:val="subscript"/>
        </w:rPr>
        <w:t>up</w:t>
      </w:r>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CNDC</w:t>
      </w:r>
      <w:r>
        <w:rPr>
          <w:vertAlign w:val="subscript"/>
        </w:rPr>
        <w:t>up</w:t>
      </w:r>
      <w:r>
        <w:t xml:space="preserve"> – </w:t>
      </w:r>
      <w:r>
        <w:rPr>
          <w:i/>
          <w:iCs/>
        </w:rPr>
        <w:t>a</w:t>
      </w:r>
      <w:r>
        <w:rPr>
          <w:i/>
          <w:iCs/>
          <w:vertAlign w:val="subscript"/>
        </w:rPr>
        <w:t>up</w:t>
      </w:r>
      <w:r w:rsidRPr="004003B1">
        <w:t xml:space="preserve">, </w:t>
      </w:r>
      <w:r>
        <w:rPr>
          <w:i/>
          <w:iCs/>
        </w:rPr>
        <w:t>b</w:t>
      </w:r>
      <w:r>
        <w:rPr>
          <w:i/>
          <w:iCs/>
          <w:vertAlign w:val="subscript"/>
        </w:rPr>
        <w:t>up</w:t>
      </w:r>
      <w:r>
        <w:t>; CNDC</w:t>
      </w:r>
      <w:r>
        <w:rPr>
          <w:vertAlign w:val="subscript"/>
        </w:rPr>
        <w:t>lo</w:t>
      </w:r>
      <w:r>
        <w:t xml:space="preserve"> – </w:t>
      </w:r>
      <w:r>
        <w:rPr>
          <w:i/>
          <w:iCs/>
        </w:rPr>
        <w:t>a</w:t>
      </w:r>
      <w:r>
        <w:rPr>
          <w:i/>
          <w:iCs/>
          <w:vertAlign w:val="subscript"/>
        </w:rPr>
        <w:t>lo</w:t>
      </w:r>
      <w:r w:rsidRPr="004003B1">
        <w:t xml:space="preserve">, </w:t>
      </w:r>
      <w:r>
        <w:rPr>
          <w:i/>
          <w:iCs/>
        </w:rPr>
        <w:t>b</w:t>
      </w:r>
      <w:r>
        <w:rPr>
          <w:i/>
          <w:iCs/>
          <w:vertAlign w:val="subscript"/>
        </w:rPr>
        <w:t>lo</w:t>
      </w:r>
      <w:r>
        <w:t>) which can be easily communicated and used in subsequent computations</w:t>
      </w:r>
      <w:r w:rsidR="0048190A">
        <w:t xml:space="preserve"> (</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0CD5E03" w:rsidR="00DE4358" w:rsidRDefault="00F37B33" w:rsidP="00DE4358">
      <w:pPr>
        <w:pStyle w:val="MDPI31text"/>
      </w:pPr>
      <w:r>
        <w:t>Critical N concentration</w:t>
      </w:r>
      <w:r w:rsidR="0045189A">
        <w:t xml:space="preserve"> </w:t>
      </w:r>
      <w:r w:rsidR="00DE4358">
        <w:t xml:space="preserve">and </w:t>
      </w:r>
      <w:r>
        <w:t xml:space="preserve">the </w:t>
      </w:r>
      <w:r w:rsidR="00DE4358">
        <w:t>associated CNDC parameters are commonly used to derive and calculate other related parameters. For example, the calculation of NNI depends on both the actual plant N concentration [%N</w:t>
      </w:r>
      <w:r w:rsidR="00DE4358">
        <w:rPr>
          <w:vertAlign w:val="subscript"/>
        </w:rPr>
        <w:t>Plant</w:t>
      </w:r>
      <w:r w:rsidR="00DE4358">
        <w:t>] and %N</w:t>
      </w:r>
      <w:r w:rsidR="00DE4358">
        <w:rPr>
          <w:vertAlign w:val="subscript"/>
        </w:rPr>
        <w:t>c</w:t>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%N</w:t>
            </w:r>
            <w:r>
              <w:rPr>
                <w:vertAlign w:val="subscript"/>
              </w:rPr>
              <w:t>Plant</w:t>
            </w:r>
            <w:r>
              <w:t xml:space="preserve"> / %N</w:t>
            </w:r>
            <w:r>
              <w:rPr>
                <w:vertAlign w:val="subscript"/>
              </w:rPr>
              <w:t>c</w:t>
            </w:r>
            <w:r>
              <w:t xml:space="preserve"> = %N</w:t>
            </w:r>
            <w:r>
              <w:rPr>
                <w:vertAlign w:val="subscript"/>
              </w:rPr>
              <w:t>Plant</w:t>
            </w:r>
            <w:r>
              <w:t xml:space="preserve"> / (a W</w:t>
            </w:r>
            <w:r w:rsidRPr="009C1A57">
              <w:rPr>
                <w:vertAlign w:val="superscript"/>
              </w:rPr>
              <w:t>–b</w:t>
            </w:r>
            <w:r>
              <w:t>)</w:t>
            </w:r>
          </w:p>
        </w:tc>
        <w:tc>
          <w:tcPr>
            <w:tcW w:w="431" w:type="dxa"/>
            <w:vAlign w:val="center"/>
            <w:hideMark/>
          </w:tcPr>
          <w:p w14:paraId="28310957" w14:textId="19F2C477" w:rsidR="00DE4358" w:rsidRDefault="00DE4358" w:rsidP="00DF49BD">
            <w:pPr>
              <w:pStyle w:val="MDPI3aequationnumber"/>
              <w:spacing w:line="260" w:lineRule="atLeast"/>
            </w:pPr>
            <w:r>
              <w:t>(</w:t>
            </w:r>
            <w:r w:rsidR="009A564C">
              <w:t>3</w:t>
            </w:r>
            <w:r>
              <w:t>)</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[%N</w:t>
      </w:r>
      <w:r w:rsidRPr="00620AD3">
        <w:rPr>
          <w:vertAlign w:val="subscript"/>
        </w:rPr>
        <w:t>c</w:t>
      </w:r>
      <w:r>
        <w:rPr>
          <w:vertAlign w:val="subscript"/>
        </w:rPr>
        <w:t>,up</w:t>
      </w:r>
      <w:r>
        <w:t>] and lower [%N</w:t>
      </w:r>
      <w:r w:rsidRPr="00620AD3">
        <w:rPr>
          <w:vertAlign w:val="subscript"/>
        </w:rPr>
        <w:t>c</w:t>
      </w:r>
      <w:r>
        <w:rPr>
          <w:vertAlign w:val="subscript"/>
        </w:rPr>
        <w:t>,lo</w:t>
      </w:r>
      <w:r>
        <w:t>] bounds of the credible region should also be used to determine the upper [NNI</w:t>
      </w:r>
      <w:r>
        <w:rPr>
          <w:vertAlign w:val="subscript"/>
        </w:rPr>
        <w:t>up</w:t>
      </w:r>
      <w:r>
        <w:t>] and lower [NNI</w:t>
      </w:r>
      <w:r>
        <w:rPr>
          <w:vertAlign w:val="subscript"/>
        </w:rPr>
        <w:t>lo</w:t>
      </w:r>
      <w:r>
        <w:t>] bounds of NNI, where %N</w:t>
      </w:r>
      <w:r>
        <w:rPr>
          <w:vertAlign w:val="subscript"/>
        </w:rPr>
        <w:t>c,up</w:t>
      </w:r>
      <w:r>
        <w:t xml:space="preserve"> and %N</w:t>
      </w:r>
      <w:r>
        <w:rPr>
          <w:vertAlign w:val="subscript"/>
        </w:rPr>
        <w:t>c,lo</w:t>
      </w:r>
      <w:r>
        <w:t xml:space="preserve"> are calculated using the CNDC</w:t>
      </w:r>
      <w:r>
        <w:rPr>
          <w:vertAlign w:val="subscript"/>
        </w:rPr>
        <w:t>up</w:t>
      </w:r>
      <w:r>
        <w:t xml:space="preserve"> and CNDC</w:t>
      </w:r>
      <w:r>
        <w:rPr>
          <w:vertAlign w:val="subscript"/>
        </w:rPr>
        <w:t>lo</w:t>
      </w:r>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r>
              <w:t>NNI</w:t>
            </w:r>
            <w:r>
              <w:rPr>
                <w:vertAlign w:val="subscript"/>
              </w:rPr>
              <w:t>up</w:t>
            </w:r>
            <w:r>
              <w:t xml:space="preserve"> = %N</w:t>
            </w:r>
            <w:r>
              <w:rPr>
                <w:vertAlign w:val="subscript"/>
              </w:rPr>
              <w:t>Plant</w:t>
            </w:r>
            <w:r>
              <w:t xml:space="preserve"> / %N</w:t>
            </w:r>
            <w:r>
              <w:rPr>
                <w:vertAlign w:val="subscript"/>
              </w:rPr>
              <w:t>c,up</w:t>
            </w:r>
            <w:r>
              <w:t xml:space="preserve"> = %N</w:t>
            </w:r>
            <w:r>
              <w:rPr>
                <w:vertAlign w:val="subscript"/>
              </w:rPr>
              <w:t>Plant</w:t>
            </w:r>
            <w:r>
              <w:t xml:space="preserve"> / (a</w:t>
            </w:r>
            <w:r>
              <w:rPr>
                <w:vertAlign w:val="subscript"/>
              </w:rPr>
              <w:t>up</w:t>
            </w:r>
            <w:r>
              <w:t xml:space="preserve"> W</w:t>
            </w:r>
            <w:r w:rsidRPr="009C1A57">
              <w:rPr>
                <w:vertAlign w:val="superscript"/>
              </w:rPr>
              <w:t>–b</w:t>
            </w:r>
            <w:r>
              <w:rPr>
                <w:vertAlign w:val="subscript"/>
              </w:rPr>
              <w:t>up</w:t>
            </w:r>
            <w:r>
              <w:t>)</w:t>
            </w:r>
          </w:p>
        </w:tc>
        <w:tc>
          <w:tcPr>
            <w:tcW w:w="431" w:type="dxa"/>
            <w:vAlign w:val="center"/>
            <w:hideMark/>
          </w:tcPr>
          <w:p w14:paraId="6ADABB9D" w14:textId="73B64692" w:rsidR="00DE4358" w:rsidRDefault="00DE4358" w:rsidP="00DF49BD">
            <w:pPr>
              <w:pStyle w:val="MDPI3aequationnumber"/>
              <w:spacing w:line="260" w:lineRule="atLeast"/>
            </w:pPr>
            <w:r>
              <w:t>(</w:t>
            </w:r>
            <w:r w:rsidR="009A564C">
              <w:t>4</w:t>
            </w:r>
            <w:r>
              <w:t>)</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r>
              <w:t>NNI</w:t>
            </w:r>
            <w:r>
              <w:rPr>
                <w:vertAlign w:val="subscript"/>
              </w:rPr>
              <w:t>lo</w:t>
            </w:r>
            <w:r>
              <w:t xml:space="preserve"> = %N</w:t>
            </w:r>
            <w:r w:rsidRPr="00620AD3">
              <w:rPr>
                <w:vertAlign w:val="subscript"/>
              </w:rPr>
              <w:t>Plant</w:t>
            </w:r>
            <w:r>
              <w:t xml:space="preserve"> / %N</w:t>
            </w:r>
            <w:r w:rsidRPr="00620AD3">
              <w:rPr>
                <w:vertAlign w:val="subscript"/>
              </w:rPr>
              <w:t>c</w:t>
            </w:r>
            <w:r>
              <w:rPr>
                <w:vertAlign w:val="subscript"/>
              </w:rPr>
              <w:t>,lo</w:t>
            </w:r>
            <w:r>
              <w:t xml:space="preserve"> = %N</w:t>
            </w:r>
            <w:r>
              <w:rPr>
                <w:vertAlign w:val="subscript"/>
              </w:rPr>
              <w:t>Plant</w:t>
            </w:r>
            <w:r>
              <w:t xml:space="preserve"> / (a</w:t>
            </w:r>
            <w:r>
              <w:rPr>
                <w:vertAlign w:val="subscript"/>
              </w:rPr>
              <w:t>lo</w:t>
            </w:r>
            <w:r>
              <w:t xml:space="preserve"> W</w:t>
            </w:r>
            <w:r w:rsidRPr="009C1A57">
              <w:rPr>
                <w:vertAlign w:val="superscript"/>
              </w:rPr>
              <w:t>–b</w:t>
            </w:r>
            <w:r>
              <w:rPr>
                <w:vertAlign w:val="subscript"/>
              </w:rPr>
              <w:t>lo</w:t>
            </w:r>
            <w:r>
              <w:t>)</w:t>
            </w:r>
          </w:p>
        </w:tc>
        <w:tc>
          <w:tcPr>
            <w:tcW w:w="431" w:type="dxa"/>
            <w:vAlign w:val="center"/>
            <w:hideMark/>
          </w:tcPr>
          <w:p w14:paraId="4D121637" w14:textId="6A7A9D50" w:rsidR="00DE4358" w:rsidRDefault="00DE4358" w:rsidP="00DF49BD">
            <w:pPr>
              <w:pStyle w:val="MDPI3aequationnumber"/>
              <w:spacing w:line="260" w:lineRule="atLeast"/>
            </w:pPr>
            <w:r>
              <w:t>(</w:t>
            </w:r>
            <w:r w:rsidR="009A564C">
              <w:t>5</w:t>
            </w:r>
            <w:r>
              <w:t>)</w:t>
            </w:r>
          </w:p>
        </w:tc>
      </w:tr>
    </w:tbl>
    <w:p w14:paraId="5D294E82" w14:textId="3A3BC521" w:rsidR="00DE4358" w:rsidRDefault="00DE4358" w:rsidP="00DE4358">
      <w:pPr>
        <w:pStyle w:val="MDPI31text"/>
      </w:pPr>
      <w:r>
        <w:t>This has important practical implications for interpreting NNI values. For example, in a case where NNI is less than 1 but NNI</w:t>
      </w:r>
      <w:r>
        <w:rPr>
          <w:vertAlign w:val="subscript"/>
        </w:rPr>
        <w:t>up</w:t>
      </w:r>
      <w:r>
        <w:t xml:space="preserve"> is greater than 1, then it follows that crop N status would not be considered deficient (i.e., NNI is not significantly different from 1)</w:t>
      </w:r>
      <w:r w:rsidR="006D30B7">
        <w:t>.</w:t>
      </w:r>
      <w:r>
        <w:t xml:space="preserve"> </w:t>
      </w:r>
      <w:r w:rsidR="006D30B7">
        <w:t>In contrast,</w:t>
      </w:r>
      <w:r>
        <w:t xml:space="preserve"> </w:t>
      </w:r>
      <w:r w:rsidR="006D30B7">
        <w:t>when</w:t>
      </w:r>
      <w:r>
        <w:t xml:space="preserve"> both NNI and NNI</w:t>
      </w:r>
      <w:r>
        <w:rPr>
          <w:vertAlign w:val="subscript"/>
        </w:rPr>
        <w:t>lo</w:t>
      </w:r>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w:t>
      </w:r>
      <w:r w:rsidR="000D400F">
        <w:t xml:space="preserve"> </w:t>
      </w:r>
      <w:r>
        <w:t xml:space="preserve">(e.g., </w:t>
      </w:r>
      <w:r w:rsidR="000D400F">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Bohman, et al. [22]</w:t>
      </w:r>
      <w:r w:rsidR="000D400F">
        <w:fldChar w:fldCharType="end"/>
      </w:r>
      <w:r>
        <w:t xml:space="preserve">) may draw different conclusions </w:t>
      </w:r>
      <w:r w:rsidR="00FC53C1">
        <w:t>when</w:t>
      </w:r>
      <w:r>
        <w:t xml:space="preserve"> considering uncertainty in calculated NNI values.</w:t>
      </w:r>
    </w:p>
    <w:p w14:paraId="14B5B8B5" w14:textId="7AA86455" w:rsidR="00DE4358" w:rsidRDefault="00DE4358" w:rsidP="00DE4358">
      <w:pPr>
        <w:pStyle w:val="MDPI31text"/>
      </w:pPr>
      <w:r>
        <w:t xml:space="preserve">Additionally, the parameters of the CNDC (i.e., </w:t>
      </w:r>
      <w:r>
        <w:rPr>
          <w:i/>
          <w:iCs/>
        </w:rPr>
        <w:t>a</w:t>
      </w:r>
      <w:r>
        <w:t xml:space="preserve">, </w:t>
      </w:r>
      <w:r>
        <w:rPr>
          <w:i/>
          <w:iCs/>
        </w:rPr>
        <w:t>b</w:t>
      </w:r>
      <w:r>
        <w:t xml:space="preserve">) are also used to parameterize other related curves such as the critical N uptake curve [CNUC] or the critical N utilization efficiency curve [CNUtEC] </w:t>
      </w:r>
      <w:r w:rsidR="000D400F">
        <w:fldChar w:fldCharType="begin"/>
      </w:r>
      <w:r w:rsidR="00B54316">
        <w:instrText xml:space="preserve"> ADDIN EN.CITE &lt;EndNote&gt;&lt;Cite&gt;&lt;Author&gt;Bohman&lt;/Author&gt;&lt;Year&gt;2021&lt;/Year&gt;&lt;RecNum&gt;2705&lt;/RecNum&gt;&lt;DisplayText&gt;&lt;style size="10"&gt;[22]&lt;/style&gt;&lt;/DisplayText&gt;&lt;record&gt;&lt;rec-number&gt;2705&lt;/rec-number&gt;&lt;foreign-keys&gt;&lt;key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[22]</w:t>
      </w:r>
      <w:r w:rsidR="000D400F">
        <w:fldChar w:fldCharType="end"/>
      </w:r>
      <w:r>
        <w:t>. When computing the critical N uptake [N</w:t>
      </w:r>
      <w:r>
        <w:rPr>
          <w:vertAlign w:val="subscript"/>
        </w:rPr>
        <w:t>c</w:t>
      </w:r>
      <w:r>
        <w:t>] or critical N utilization efficiency [NUtE</w:t>
      </w:r>
      <w:r>
        <w:rPr>
          <w:vertAlign w:val="subscript"/>
        </w:rPr>
        <w:t>c</w:t>
      </w:r>
      <w:r>
        <w:t>] values defined by these curves, respectively, the parameters from the CNDC</w:t>
      </w:r>
      <w:r>
        <w:rPr>
          <w:vertAlign w:val="subscript"/>
        </w:rPr>
        <w:t>lo</w:t>
      </w:r>
      <w:r>
        <w:t xml:space="preserve"> (i.e., </w:t>
      </w:r>
      <w:r>
        <w:rPr>
          <w:i/>
          <w:iCs/>
        </w:rPr>
        <w:t>a</w:t>
      </w:r>
      <w:r>
        <w:rPr>
          <w:i/>
          <w:iCs/>
          <w:vertAlign w:val="subscript"/>
        </w:rPr>
        <w:t>lo</w:t>
      </w:r>
      <w:r>
        <w:rPr>
          <w:i/>
          <w:iCs/>
        </w:rPr>
        <w:t>, b</w:t>
      </w:r>
      <w:r>
        <w:rPr>
          <w:i/>
          <w:iCs/>
          <w:vertAlign w:val="subscript"/>
        </w:rPr>
        <w:t>lo</w:t>
      </w:r>
      <w:r>
        <w:t>) and CNDC</w:t>
      </w:r>
      <w:r>
        <w:rPr>
          <w:vertAlign w:val="subscript"/>
        </w:rPr>
        <w:t>up</w:t>
      </w:r>
      <w:r>
        <w:t xml:space="preserve"> (i.e., </w:t>
      </w:r>
      <w:r>
        <w:rPr>
          <w:i/>
          <w:iCs/>
        </w:rPr>
        <w:t>a</w:t>
      </w:r>
      <w:r>
        <w:rPr>
          <w:i/>
          <w:iCs/>
          <w:vertAlign w:val="subscript"/>
        </w:rPr>
        <w:t>up</w:t>
      </w:r>
      <w:r>
        <w:rPr>
          <w:i/>
          <w:iCs/>
        </w:rPr>
        <w:t>, b</w:t>
      </w:r>
      <w:r>
        <w:rPr>
          <w:i/>
          <w:iCs/>
          <w:vertAlign w:val="subscript"/>
        </w:rPr>
        <w:t>up</w:t>
      </w:r>
      <w:r>
        <w:t xml:space="preserve">) should be used to calculate the </w:t>
      </w:r>
      <w:r>
        <w:lastRenderedPageBreak/>
        <w:t xml:space="preserve">upper and lower bounds of these </w:t>
      </w:r>
      <w:r w:rsidR="00FA085A">
        <w:t xml:space="preserve">derived </w:t>
      </w:r>
      <w:r>
        <w:t>values. In general, any calculation depending on either %N</w:t>
      </w:r>
      <w:r>
        <w:rPr>
          <w:vertAlign w:val="subscript"/>
        </w:rPr>
        <w:t>c</w:t>
      </w:r>
      <w:r>
        <w:t xml:space="preserve"> or any equation that uses the parameters of the CNDC, should also additionally use the CNDC</w:t>
      </w:r>
      <w:r>
        <w:rPr>
          <w:vertAlign w:val="subscript"/>
        </w:rPr>
        <w:t>lo</w:t>
      </w:r>
      <w:r>
        <w:t xml:space="preserve"> and CNDC</w:t>
      </w:r>
      <w:r>
        <w:rPr>
          <w:vertAlign w:val="subscript"/>
        </w:rPr>
        <w:t>up</w:t>
      </w:r>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2D0EF4F3" w:rsidR="00B37963" w:rsidRPr="00B37963" w:rsidRDefault="00B37963" w:rsidP="00B37963">
      <w:pPr>
        <w:pStyle w:val="MDPI31text"/>
      </w:pPr>
      <w:r>
        <w:t xml:space="preserve">While the </w:t>
      </w:r>
      <w:r w:rsidR="004E2E4A">
        <w:t>occurance</w:t>
      </w:r>
      <w:r>
        <w:t xml:space="preserve"> of difference in CNDCs derived using the Bayesian hierarchical model compared to the conventional statistical methods </w:t>
      </w:r>
      <w:r w:rsidR="009D1420">
        <w:t>(</w:t>
      </w:r>
      <w:r w:rsidR="00157166">
        <w:t>Figure 5</w:t>
      </w:r>
      <w:r w:rsidR="009D1420">
        <w:t>)</w:t>
      </w:r>
      <w:r>
        <w:t xml:space="preserve"> is </w:t>
      </w:r>
      <w:r w:rsidR="00FB4BEF">
        <w:t>itself notable</w:t>
      </w:r>
      <w:r>
        <w:t>, the magnitude of these differences found in the present study is</w:t>
      </w:r>
      <w:r w:rsidR="00FB4BEF">
        <w:t xml:space="preserve"> especially remarkable</w:t>
      </w:r>
      <w:r>
        <w:t xml:space="preserve">.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54F09">
        <w:t>absent</w:t>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0F2B0E7E"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accurate, least biased). </w:t>
      </w:r>
      <w:r w:rsidR="007F3F29">
        <w:t>H</w:t>
      </w:r>
      <w:r>
        <w:t xml:space="preserve">owever, we can reasonably conclude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inference that is less subjected to potential bias in the experimental data set</w:t>
      </w:r>
      <w:r w:rsidR="007F3F29">
        <w:t xml:space="preserve"> compared to </w:t>
      </w:r>
      <w:r>
        <w:t>the conventional statistical methods.</w:t>
      </w:r>
      <w:r w:rsidR="00DF0733">
        <w:t xml:space="preserve"> Additionally, it extracts the greatest amount of information from a given dataset, as no data are excluded from the fitting of the total model.</w:t>
      </w:r>
    </w:p>
    <w:p w14:paraId="4BC4E417" w14:textId="6BDFFAE7" w:rsidR="007F3F29" w:rsidRDefault="00846800" w:rsidP="009D1420">
      <w:pPr>
        <w:pStyle w:val="MDPI31text"/>
      </w:pPr>
      <w:r>
        <w:t>Therefore,</w:t>
      </w:r>
      <w:r w:rsidR="007F3F29">
        <w:t xml:space="preserve"> it appears preferable for the future development of CNDCs to utilize the Bayesian hierarchical method to both quantify uncertainty and reduce bias in </w:t>
      </w:r>
      <w:r w:rsidR="007A1D3A">
        <w:t>%N</w:t>
      </w:r>
      <w:r w:rsidR="007A1D3A">
        <w:rPr>
          <w:vertAlign w:val="subscript"/>
        </w:rPr>
        <w:t>c</w:t>
      </w:r>
      <w:r w:rsidR="007F3F29">
        <w:t>. Without addressing these limitations (i.e., bias and uncertainty), both directly resulting from the statistical methods used, the NNI framework cannot</w:t>
      </w:r>
      <w:r w:rsidR="009A564C">
        <w:t xml:space="preserve"> </w:t>
      </w:r>
      <w:r w:rsidR="007F3F29">
        <w:t>fulfill its core objective of providing an absolute reference of crop N status.</w:t>
      </w:r>
    </w:p>
    <w:p w14:paraId="08087C4E" w14:textId="001C2EF3" w:rsidR="000C7F41" w:rsidRDefault="00846800" w:rsidP="00846800">
      <w:pPr>
        <w:pStyle w:val="MDPI31text"/>
      </w:pPr>
      <w:r>
        <w:t>Additionally, with the further development adequate tools for this scientific computing task, the implementation of the Bayseian hierarchical framework for deriving the CNDC can be made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r w:rsidR="00ED0F1E">
        <w:t>Materials and Methods</w:t>
      </w:r>
    </w:p>
    <w:p w14:paraId="7242F009" w14:textId="69CB289B" w:rsidR="00ED0F1E" w:rsidRDefault="00A22EA9" w:rsidP="00ED0F1E">
      <w:pPr>
        <w:pStyle w:val="MDPI22heading2"/>
        <w:spacing w:before="0"/>
      </w:pPr>
      <w:r>
        <w:t>4</w:t>
      </w:r>
      <w:r w:rsidR="00ED0F1E">
        <w:t>.1. Experimental Data</w:t>
      </w:r>
    </w:p>
    <w:p w14:paraId="0CFF9098" w14:textId="6A454EE4" w:rsidR="00ED0F1E" w:rsidRDefault="00ED0F1E" w:rsidP="00ED0F1E">
      <w:pPr>
        <w:pStyle w:val="MDPI31text"/>
      </w:pPr>
      <w:r>
        <w:t xml:space="preserve">This study combines experimental data from both newly reported and previously published sources </w:t>
      </w:r>
      <w:r>
        <w:fldChar w:fldCharType="begin"/>
      </w:r>
      <w:r>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 17]</w:t>
      </w:r>
      <w:r>
        <w:fldChar w:fldCharType="end"/>
      </w:r>
      <w:r>
        <w:t xml:space="preserve">. The data used for analysis in this study is summarized in </w:t>
      </w:r>
      <w:r w:rsidR="0043243C">
        <w:t>Table 2</w:t>
      </w:r>
      <w:r>
        <w:t xml:space="preserve"> and the relevant methods related to the experimental trials is reported below. All individual experimental observations used in this study are presented in the Supplemental Materials (Table S1).</w:t>
      </w:r>
    </w:p>
    <w:p w14:paraId="7868807E" w14:textId="77777777" w:rsidR="00E576F6" w:rsidRDefault="00E576F6" w:rsidP="00E576F6">
      <w:pPr>
        <w:pStyle w:val="MDPI23heading3"/>
      </w:pPr>
      <w:r>
        <w:t>4.1.1. Newly Reported Data – Minnesota</w:t>
      </w:r>
    </w:p>
    <w:p w14:paraId="5C164ECB" w14:textId="2DAE94C5" w:rsidR="00E576F6" w:rsidRDefault="00E576F6" w:rsidP="00E576F6">
      <w:pPr>
        <w:pStyle w:val="MDPI31text"/>
      </w:pPr>
      <w:r>
        <w:t>Six</w:t>
      </w:r>
      <w:r w:rsidRPr="0025283E">
        <w:t xml:space="preserve"> </w:t>
      </w:r>
      <w:r>
        <w:t xml:space="preserve">individual </w:t>
      </w:r>
      <w:r w:rsidRPr="0025283E">
        <w:t xml:space="preserve">plot-scale field experiments were conducted over a total of </w:t>
      </w:r>
      <w:r>
        <w:t>eight</w:t>
      </w:r>
      <w:r w:rsidRPr="0025283E">
        <w:t xml:space="preserve"> years (1991–1992, 2014–</w:t>
      </w:r>
      <w:r>
        <w:t>2016</w:t>
      </w:r>
      <w:r w:rsidRPr="0025283E">
        <w:t>, 2018</w:t>
      </w:r>
      <w:r>
        <w:t>-2020</w:t>
      </w:r>
      <w:r w:rsidRPr="0025283E">
        <w:t>)</w:t>
      </w:r>
      <w:r>
        <w:t xml:space="preserve"> </w:t>
      </w:r>
      <w:r w:rsidRPr="0025283E">
        <w:t xml:space="preserve">on irrigated plots at the Sand Plain Research Farm [SPRF] in Becker, MN (45º 23’ N, 93º 53’ W). Mean temperature at this station is 7.1 </w:t>
      </w:r>
      <w:r w:rsidRPr="00EC0E19">
        <w:t>º</w:t>
      </w:r>
      <w:r w:rsidRPr="0025283E">
        <w:t xml:space="preserve">C and mean annual precipitation is 809 mm </w:t>
      </w:r>
      <w:r>
        <w:fldChar w:fldCharType="begin"/>
      </w:r>
      <w:r w:rsidR="00B54316">
        <w:instrText xml:space="preserve"> ADDIN EN.CITE &lt;EndNote&gt;&lt;Cite&gt;&lt;Author&gt;Arguez&lt;/Author&gt;&lt;Year&gt;2010&lt;/Year&gt;&lt;RecNum&gt;1720&lt;/RecNum&gt;&lt;DisplayText&gt;&lt;style size="10"&gt;[23]&lt;/style&gt;&lt;/DisplayText&gt;&lt;record&gt;&lt;rec-number&gt;1720&lt;/rec-number&gt;&lt;foreign-keys&gt;&lt;key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sidR="00B54316">
        <w:rPr>
          <w:noProof/>
        </w:rPr>
        <w:t>[23]</w:t>
      </w:r>
      <w:r>
        <w:fldChar w:fldCharType="end"/>
      </w:r>
      <w:r>
        <w:t xml:space="preserve">. </w:t>
      </w:r>
      <w:r w:rsidRPr="0025283E">
        <w:t xml:space="preserve">The soil at this station </w:t>
      </w:r>
      <w:r w:rsidR="00037590">
        <w:t>is</w:t>
      </w:r>
      <w:r w:rsidRPr="0025283E">
        <w:t xml:space="preserve"> characterized as a Hubbard loamy sand (Sandy, mixed, frigid Entic Hapludolls) and excessively well drained with low available water holding capacity </w:t>
      </w:r>
      <w:r>
        <w:fldChar w:fldCharType="begin"/>
      </w:r>
      <w:r w:rsidR="00B54316">
        <w:instrText xml:space="preserve"> ADDIN EN.CITE &lt;EndNote&gt;&lt;Cite&gt;&lt;Author&gt;Hansen&lt;/Author&gt;&lt;Year&gt;1988&lt;/Year&gt;&lt;RecNum&gt;1717&lt;/RecNum&gt;&lt;DisplayText&gt;&lt;style size="10"&gt;[24, 25]&lt;/style&gt;&lt;/DisplayText&gt;&lt;record&gt;&lt;rec-number&gt;1717&lt;/rec-number&gt;&lt;foreign-keys&gt;&lt;key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sidR="00B54316">
        <w:rPr>
          <w:noProof/>
        </w:rPr>
        <w:t>[24, 25]</w:t>
      </w:r>
      <w:r>
        <w:fldChar w:fldCharType="end"/>
      </w:r>
      <w:r>
        <w:t xml:space="preserve">. </w:t>
      </w:r>
      <w:r w:rsidRPr="0025283E">
        <w:t xml:space="preserve">Apart from experimental </w:t>
      </w:r>
      <w:r w:rsidR="00EB0A43">
        <w:t>N</w:t>
      </w:r>
      <w:r w:rsidRPr="0025283E">
        <w:t xml:space="preserve"> and variety treatments, all management and cultural practices were managed by the staff at the SPRF in accordance with common practices for the region </w:t>
      </w:r>
      <w:r>
        <w:fldChar w:fldCharType="begin"/>
      </w:r>
      <w:r w:rsidR="00B54316">
        <w:instrText xml:space="preserve"> ADDIN EN.CITE &lt;EndNote&gt;&lt;Cite&gt;&lt;Author&gt;Egel&lt;/Author&gt;&lt;Year&gt;2017&lt;/Year&gt;&lt;RecNum&gt;970&lt;/RecNum&gt;&lt;DisplayText&gt;&lt;style size="10"&gt;[26]&lt;/style&gt;&lt;/DisplayText&gt;&lt;record&gt;&lt;rec-number&gt;970&lt;/rec-number&gt;&lt;foreign-keys&gt;&lt;key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sidR="00B54316">
        <w:rPr>
          <w:noProof/>
        </w:rPr>
        <w:t>[26]</w:t>
      </w:r>
      <w:r>
        <w:fldChar w:fldCharType="end"/>
      </w:r>
      <w:r>
        <w:t>,</w:t>
      </w:r>
      <w:r w:rsidRPr="0025283E">
        <w:t xml:space="preserve"> nutrients were applied based on soil samples and University recommendations </w:t>
      </w:r>
      <w:r>
        <w:fldChar w:fldCharType="begin"/>
      </w:r>
      <w:r w:rsidR="00B54316">
        <w:instrText xml:space="preserve"> ADDIN EN.CITE &lt;EndNote&gt;&lt;Cite&gt;&lt;Author&gt;Franzen&lt;/Author&gt;&lt;Year&gt;2018&lt;/Year&gt;&lt;RecNum&gt;1997&lt;/RecNum&gt;&lt;DisplayText&gt;&lt;style size="10"&gt;[27, 28]&lt;/style&gt;&lt;/DisplayText&gt;&lt;record&gt;&lt;rec-number&gt;1997&lt;/rec-number&gt;&lt;foreign-keys&gt;&lt;key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sidR="00B54316">
        <w:rPr>
          <w:noProof/>
        </w:rPr>
        <w:t>[27, 28]</w:t>
      </w:r>
      <w:r>
        <w:fldChar w:fldCharType="end"/>
      </w:r>
      <w:r>
        <w:t xml:space="preserve">, and supplemental irrigation was applied based on the University recommended checkbook method </w:t>
      </w:r>
      <w:r>
        <w:fldChar w:fldCharType="begin"/>
      </w:r>
      <w:r w:rsidR="00B54316">
        <w:instrText xml:space="preserve"> ADDIN EN.CITE &lt;EndNote&gt;&lt;Cite&gt;&lt;Author&gt;Steele&lt;/Author&gt;&lt;Year&gt;2010&lt;/Year&gt;&lt;RecNum&gt;1009&lt;/RecNum&gt;&lt;DisplayText&gt;&lt;style size="10"&gt;[29, 30]&lt;/style&gt;&lt;/DisplayText&gt;&lt;record&gt;&lt;rec-number&gt;1009&lt;/rec-number&gt;&lt;foreign-keys&gt;&lt;key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sidR="00B54316">
        <w:rPr>
          <w:noProof/>
        </w:rPr>
        <w:t>[29, 30]</w:t>
      </w:r>
      <w:r>
        <w:fldChar w:fldCharType="end"/>
      </w:r>
      <w:r>
        <w:t xml:space="preserve">. </w:t>
      </w:r>
      <w:r w:rsidRPr="0025283E">
        <w:t>Additional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lastRenderedPageBreak/>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2B49B4">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2B49B4">
            <w:pPr>
              <w:pStyle w:val="MDPI42tablebody"/>
              <w:spacing w:line="240" w:lineRule="auto"/>
              <w:rPr>
                <w:b/>
              </w:rPr>
            </w:pPr>
            <w:r>
              <w:rPr>
                <w:b/>
              </w:rPr>
              <w:t>Samples</w:t>
            </w:r>
          </w:p>
        </w:tc>
      </w:tr>
      <w:tr w:rsidR="00ED0F1E" w14:paraId="32AFA534" w14:textId="77777777" w:rsidTr="002B49B4">
        <w:tc>
          <w:tcPr>
            <w:tcW w:w="2252" w:type="dxa"/>
            <w:vMerge w:val="restart"/>
            <w:tcBorders>
              <w:top w:val="single" w:sz="4" w:space="0" w:color="auto"/>
              <w:left w:val="nil"/>
              <w:bottom w:val="nil"/>
              <w:right w:val="nil"/>
            </w:tcBorders>
            <w:vAlign w:val="center"/>
            <w:hideMark/>
          </w:tcPr>
          <w:p w14:paraId="33C1F985" w14:textId="77777777" w:rsidR="00ED0F1E" w:rsidRDefault="00ED0F1E"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2B49B4">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2B49B4">
            <w:pPr>
              <w:pStyle w:val="MDPI42tablebody"/>
              <w:spacing w:line="240" w:lineRule="auto"/>
            </w:pPr>
            <w:r>
              <w:t>30</w:t>
            </w:r>
          </w:p>
        </w:tc>
      </w:tr>
      <w:tr w:rsidR="00ED0F1E" w14:paraId="0C451B87" w14:textId="77777777" w:rsidTr="002B49B4">
        <w:tc>
          <w:tcPr>
            <w:tcW w:w="2252" w:type="dxa"/>
            <w:vMerge/>
            <w:tcBorders>
              <w:top w:val="nil"/>
              <w:left w:val="nil"/>
              <w:bottom w:val="nil"/>
              <w:right w:val="nil"/>
            </w:tcBorders>
            <w:vAlign w:val="center"/>
          </w:tcPr>
          <w:p w14:paraId="176197A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2B49B4">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2B49B4">
            <w:pPr>
              <w:pStyle w:val="MDPI42tablebody"/>
              <w:spacing w:line="240" w:lineRule="auto"/>
            </w:pPr>
            <w:r>
              <w:t>70</w:t>
            </w:r>
          </w:p>
        </w:tc>
      </w:tr>
      <w:tr w:rsidR="00ED0F1E" w14:paraId="05EFD486" w14:textId="77777777" w:rsidTr="002B49B4">
        <w:tc>
          <w:tcPr>
            <w:tcW w:w="2252" w:type="dxa"/>
            <w:vMerge/>
            <w:tcBorders>
              <w:top w:val="nil"/>
              <w:left w:val="nil"/>
              <w:bottom w:val="nil"/>
              <w:right w:val="nil"/>
            </w:tcBorders>
            <w:vAlign w:val="center"/>
          </w:tcPr>
          <w:p w14:paraId="523DBABF"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2B49B4">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2B49B4">
            <w:pPr>
              <w:pStyle w:val="MDPI42tablebody"/>
              <w:spacing w:line="240" w:lineRule="auto"/>
            </w:pPr>
            <w:r>
              <w:t>70</w:t>
            </w:r>
          </w:p>
        </w:tc>
      </w:tr>
      <w:tr w:rsidR="00ED0F1E" w14:paraId="5A0B6BF2" w14:textId="77777777" w:rsidTr="002B49B4">
        <w:tc>
          <w:tcPr>
            <w:tcW w:w="2252" w:type="dxa"/>
            <w:vMerge/>
            <w:tcBorders>
              <w:top w:val="nil"/>
              <w:left w:val="nil"/>
              <w:bottom w:val="nil"/>
              <w:right w:val="nil"/>
            </w:tcBorders>
            <w:vAlign w:val="center"/>
          </w:tcPr>
          <w:p w14:paraId="5CB8C629"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2B49B4">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2B49B4">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2B49B4">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2B49B4">
            <w:pPr>
              <w:pStyle w:val="MDPI42tablebody"/>
              <w:spacing w:line="240" w:lineRule="auto"/>
            </w:pPr>
            <w:r>
              <w:t>329</w:t>
            </w:r>
          </w:p>
        </w:tc>
      </w:tr>
      <w:tr w:rsidR="00ED0F1E" w14:paraId="6932D0BB" w14:textId="77777777" w:rsidTr="002B49B4">
        <w:tc>
          <w:tcPr>
            <w:tcW w:w="2252" w:type="dxa"/>
            <w:vMerge/>
            <w:tcBorders>
              <w:top w:val="nil"/>
              <w:left w:val="nil"/>
              <w:bottom w:val="dotted" w:sz="4" w:space="0" w:color="auto"/>
              <w:right w:val="nil"/>
            </w:tcBorders>
            <w:vAlign w:val="center"/>
          </w:tcPr>
          <w:p w14:paraId="0338FA96"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2B49B4">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2B49B4">
            <w:pPr>
              <w:pStyle w:val="MDPI42tablebody"/>
              <w:spacing w:line="240" w:lineRule="auto"/>
            </w:pPr>
            <w:r>
              <w:t>30</w:t>
            </w:r>
          </w:p>
        </w:tc>
      </w:tr>
      <w:tr w:rsidR="00ED0F1E" w14:paraId="327E188C" w14:textId="77777777" w:rsidTr="002B49B4">
        <w:tc>
          <w:tcPr>
            <w:tcW w:w="2252" w:type="dxa"/>
            <w:vMerge w:val="restart"/>
            <w:tcBorders>
              <w:top w:val="dotted" w:sz="4" w:space="0" w:color="auto"/>
              <w:left w:val="nil"/>
              <w:right w:val="nil"/>
            </w:tcBorders>
            <w:vAlign w:val="center"/>
          </w:tcPr>
          <w:p w14:paraId="5D7E91A4" w14:textId="77777777" w:rsidR="00ED0F1E" w:rsidRDefault="00ED0F1E" w:rsidP="002B49B4">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2B49B4">
            <w:pPr>
              <w:pStyle w:val="MDPI42tablebody"/>
              <w:spacing w:line="240" w:lineRule="auto"/>
            </w:pPr>
            <w:r>
              <w:t>52</w:t>
            </w:r>
          </w:p>
        </w:tc>
      </w:tr>
      <w:tr w:rsidR="00ED0F1E" w14:paraId="4328CCED" w14:textId="77777777" w:rsidTr="002B49B4">
        <w:tc>
          <w:tcPr>
            <w:tcW w:w="2252" w:type="dxa"/>
            <w:vMerge/>
            <w:tcBorders>
              <w:left w:val="nil"/>
              <w:right w:val="nil"/>
            </w:tcBorders>
            <w:vAlign w:val="center"/>
          </w:tcPr>
          <w:p w14:paraId="2A8083A2"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2B49B4">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2B49B4">
            <w:pPr>
              <w:pStyle w:val="MDPI42tablebody"/>
              <w:spacing w:line="240" w:lineRule="auto"/>
            </w:pPr>
            <w:r>
              <w:t>72</w:t>
            </w:r>
          </w:p>
        </w:tc>
      </w:tr>
      <w:tr w:rsidR="00ED0F1E" w14:paraId="1A6E64E7" w14:textId="77777777" w:rsidTr="002B49B4">
        <w:tc>
          <w:tcPr>
            <w:tcW w:w="2252" w:type="dxa"/>
            <w:vMerge/>
            <w:tcBorders>
              <w:left w:val="nil"/>
              <w:right w:val="nil"/>
            </w:tcBorders>
            <w:vAlign w:val="center"/>
          </w:tcPr>
          <w:p w14:paraId="0F4A89AD"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2B49B4">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2B49B4">
            <w:pPr>
              <w:pStyle w:val="MDPI42tablebody"/>
              <w:spacing w:line="240" w:lineRule="auto"/>
            </w:pPr>
            <w:r>
              <w:t>72</w:t>
            </w:r>
          </w:p>
        </w:tc>
      </w:tr>
      <w:tr w:rsidR="00ED0F1E" w14:paraId="6590C636" w14:textId="77777777" w:rsidTr="002B49B4">
        <w:tc>
          <w:tcPr>
            <w:tcW w:w="2252" w:type="dxa"/>
            <w:vMerge/>
            <w:tcBorders>
              <w:left w:val="nil"/>
              <w:right w:val="nil"/>
            </w:tcBorders>
            <w:vAlign w:val="center"/>
          </w:tcPr>
          <w:p w14:paraId="1821B86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2B49B4">
            <w:pPr>
              <w:pStyle w:val="MDPI42tablebody"/>
              <w:spacing w:line="240" w:lineRule="auto"/>
              <w:jc w:val="left"/>
            </w:pPr>
            <w:r>
              <w:t>Markies Russet</w:t>
            </w:r>
          </w:p>
        </w:tc>
        <w:tc>
          <w:tcPr>
            <w:tcW w:w="990" w:type="dxa"/>
            <w:tcBorders>
              <w:top w:val="nil"/>
              <w:left w:val="nil"/>
              <w:bottom w:val="nil"/>
              <w:right w:val="nil"/>
            </w:tcBorders>
            <w:vAlign w:val="center"/>
          </w:tcPr>
          <w:p w14:paraId="6C02F21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2B49B4">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2B49B4">
            <w:pPr>
              <w:pStyle w:val="MDPI42tablebody"/>
              <w:spacing w:line="240" w:lineRule="auto"/>
            </w:pPr>
            <w:r>
              <w:t>36</w:t>
            </w:r>
          </w:p>
        </w:tc>
      </w:tr>
      <w:tr w:rsidR="00ED0F1E" w14:paraId="6134A700" w14:textId="77777777" w:rsidTr="002B49B4">
        <w:tc>
          <w:tcPr>
            <w:tcW w:w="2252" w:type="dxa"/>
            <w:vMerge/>
            <w:tcBorders>
              <w:left w:val="nil"/>
              <w:right w:val="nil"/>
            </w:tcBorders>
            <w:vAlign w:val="center"/>
          </w:tcPr>
          <w:p w14:paraId="7E10E60C"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2B49B4">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2B49B4">
            <w:pPr>
              <w:pStyle w:val="MDPI42tablebody"/>
              <w:spacing w:line="240" w:lineRule="auto"/>
            </w:pPr>
            <w:r>
              <w:t>56</w:t>
            </w:r>
          </w:p>
        </w:tc>
      </w:tr>
      <w:tr w:rsidR="00ED0F1E" w14:paraId="0F29D0C1" w14:textId="77777777" w:rsidTr="002B49B4">
        <w:tc>
          <w:tcPr>
            <w:tcW w:w="2252" w:type="dxa"/>
            <w:vMerge/>
            <w:tcBorders>
              <w:left w:val="nil"/>
              <w:right w:val="nil"/>
            </w:tcBorders>
            <w:vAlign w:val="center"/>
          </w:tcPr>
          <w:p w14:paraId="3BF79420" w14:textId="77777777" w:rsidR="00ED0F1E" w:rsidRDefault="00ED0F1E"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2B49B4">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2B49B4">
            <w:pPr>
              <w:pStyle w:val="MDPI42tablebody"/>
              <w:spacing w:line="240" w:lineRule="auto"/>
            </w:pPr>
            <w:r>
              <w:t>120</w:t>
            </w:r>
          </w:p>
        </w:tc>
      </w:tr>
      <w:tr w:rsidR="00ED0F1E" w14:paraId="481B3010" w14:textId="77777777" w:rsidTr="002B49B4">
        <w:tc>
          <w:tcPr>
            <w:tcW w:w="2252" w:type="dxa"/>
            <w:vMerge/>
            <w:tcBorders>
              <w:left w:val="nil"/>
              <w:bottom w:val="dotted" w:sz="4" w:space="0" w:color="auto"/>
              <w:right w:val="nil"/>
            </w:tcBorders>
            <w:vAlign w:val="center"/>
          </w:tcPr>
          <w:p w14:paraId="523A385B" w14:textId="77777777" w:rsidR="00ED0F1E" w:rsidRDefault="00ED0F1E" w:rsidP="002B49B4">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2B49B4">
            <w:pPr>
              <w:pStyle w:val="MDPI42tablebody"/>
              <w:spacing w:line="240" w:lineRule="auto"/>
              <w:jc w:val="left"/>
            </w:pPr>
            <w:r>
              <w:t>Shepody</w:t>
            </w:r>
          </w:p>
        </w:tc>
        <w:tc>
          <w:tcPr>
            <w:tcW w:w="990" w:type="dxa"/>
            <w:tcBorders>
              <w:top w:val="nil"/>
              <w:left w:val="nil"/>
              <w:bottom w:val="dotted" w:sz="4" w:space="0" w:color="auto"/>
              <w:right w:val="nil"/>
            </w:tcBorders>
            <w:vAlign w:val="center"/>
          </w:tcPr>
          <w:p w14:paraId="35D3C946" w14:textId="77777777" w:rsidR="00ED0F1E" w:rsidRDefault="00ED0F1E" w:rsidP="002B49B4">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2B49B4">
            <w:pPr>
              <w:pStyle w:val="MDPI42tablebody"/>
              <w:spacing w:line="240" w:lineRule="auto"/>
            </w:pPr>
            <w:r>
              <w:t>120</w:t>
            </w:r>
          </w:p>
        </w:tc>
      </w:tr>
      <w:tr w:rsidR="00ED0F1E" w14:paraId="0AA7CC67" w14:textId="77777777" w:rsidTr="002B49B4">
        <w:tc>
          <w:tcPr>
            <w:tcW w:w="2252" w:type="dxa"/>
            <w:vMerge w:val="restart"/>
            <w:tcBorders>
              <w:top w:val="dotted" w:sz="4" w:space="0" w:color="auto"/>
              <w:left w:val="nil"/>
              <w:right w:val="nil"/>
            </w:tcBorders>
            <w:vAlign w:val="center"/>
          </w:tcPr>
          <w:p w14:paraId="560FB5F2" w14:textId="77777777" w:rsidR="00ED0F1E" w:rsidRDefault="00ED0F1E" w:rsidP="002B49B4">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2B49B4">
            <w:pPr>
              <w:pStyle w:val="MDPI42tablebody"/>
              <w:spacing w:line="240" w:lineRule="auto"/>
            </w:pPr>
            <w:r>
              <w:t>238</w:t>
            </w:r>
          </w:p>
        </w:tc>
      </w:tr>
      <w:tr w:rsidR="00ED0F1E" w14:paraId="7CE1CC5C" w14:textId="77777777" w:rsidTr="002B49B4">
        <w:tc>
          <w:tcPr>
            <w:tcW w:w="2252" w:type="dxa"/>
            <w:vMerge/>
            <w:tcBorders>
              <w:left w:val="nil"/>
              <w:bottom w:val="single" w:sz="4" w:space="0" w:color="auto"/>
              <w:right w:val="nil"/>
            </w:tcBorders>
            <w:vAlign w:val="center"/>
          </w:tcPr>
          <w:p w14:paraId="62594689" w14:textId="77777777" w:rsidR="00ED0F1E" w:rsidRDefault="00ED0F1E" w:rsidP="002B49B4">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2B49B4">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2B49B4">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2B49B4">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2B49B4">
            <w:pPr>
              <w:pStyle w:val="MDPI42tablebody"/>
              <w:spacing w:line="240" w:lineRule="auto"/>
              <w:rPr>
                <w:b/>
              </w:rPr>
            </w:pPr>
            <w:r>
              <w:rPr>
                <w:b/>
              </w:rPr>
              <w:t>Reference</w:t>
            </w:r>
          </w:p>
        </w:tc>
      </w:tr>
      <w:tr w:rsidR="00ED0F1E" w14:paraId="1F366388" w14:textId="77777777" w:rsidTr="002B49B4">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0181CDAB" w:rsidR="00ED0F1E" w:rsidRDefault="00ED0F1E"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ZT0iMTAiPkVycmViaGksIGV0IGFsLiBbMzFdLCBSb3NlbiwgZXQgYWwuIFszMl0sIFJvc2VuLCBl
dCBhbC4gWzMzXTwvc3R5bGU+PC9EaXNwbGF5VGV4dD48cmVjb3JkPjxyZWMtbnVtYmVyPjQ1OTwv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B54316">
              <w:instrText xml:space="preserve"> ADDIN EN.CITE </w:instrText>
            </w:r>
            <w:r w:rsidR="00B54316">
              <w:fldChar w:fldCharType="begin">
                <w:fldData xml:space="preserve">PEVuZE5vdGU+PENpdGUgQXV0aG9yWWVhcj0iMSI+PEF1dGhvcj5FcnJlYmhpPC9BdXRob3I+PFll
YXI+MTk5ODwvWWVhcj48UmVjTnVtPjQ1OTwvUmVjTnVtPjxEaXNwbGF5VGV4dD48c3R5bGUgc2l6
ZT0iMTAiPkVycmViaGksIGV0IGFsLiBbMzFdLCBSb3NlbiwgZXQgYWwuIFszMl0sIFJvc2VuLCBl
dCBhbC4gWzMzXTwvc3R5bGU+PC9EaXNwbGF5VGV4dD48cmVjb3JkPjxyZWMtbnVtYmVyPjQ1OTwv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B54316">
              <w:instrText xml:space="preserve"> ADDIN EN.CITE.DATA </w:instrText>
            </w:r>
            <w:r w:rsidR="00B54316">
              <w:fldChar w:fldCharType="end"/>
            </w:r>
            <w:r>
              <w:fldChar w:fldCharType="separate"/>
            </w:r>
            <w:r w:rsidR="00B54316">
              <w:rPr>
                <w:noProof/>
              </w:rPr>
              <w:t>Errebhi, et al. [31], Rosen, et al. [32], Rosen, et al. [33]</w:t>
            </w:r>
            <w:r>
              <w:fldChar w:fldCharType="end"/>
            </w:r>
          </w:p>
        </w:tc>
      </w:tr>
      <w:tr w:rsidR="00ED0F1E" w14:paraId="1E72CBF0" w14:textId="77777777" w:rsidTr="002B49B4">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47E52871" w:rsidR="00ED0F1E" w:rsidRDefault="00ED0F1E" w:rsidP="002B49B4">
            <w:pPr>
              <w:pStyle w:val="MDPI42tablebody"/>
              <w:spacing w:line="240" w:lineRule="auto"/>
              <w:jc w:val="left"/>
            </w:pPr>
            <w:r>
              <w:fldChar w:fldCharType="begin"/>
            </w:r>
            <w:r w:rsidR="00B54316">
              <w:instrText xml:space="preserve"> ADDIN EN.CITE &lt;EndNote&gt;&lt;Cite AuthorYear="1"&gt;&lt;Author&gt;Sun&lt;/Author&gt;&lt;Year&gt;2017&lt;/Year&gt;&lt;RecNum&gt;2034&lt;/RecNum&gt;&lt;DisplayText&gt;&lt;style size="10"&gt;Sun [34], Sun, et al. [35]&lt;/style&gt;&lt;/DisplayText&gt;&lt;record&gt;&lt;rec-number&gt;2034&lt;/rec-number&gt;&lt;foreign-keys&gt;&lt;key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sidR="00B54316">
              <w:rPr>
                <w:noProof/>
              </w:rPr>
              <w:t>Sun [34], Sun, et al. [35]</w:t>
            </w:r>
            <w:r>
              <w:fldChar w:fldCharType="end"/>
            </w:r>
          </w:p>
        </w:tc>
      </w:tr>
      <w:tr w:rsidR="00ED0F1E" w14:paraId="62D031E0" w14:textId="77777777" w:rsidTr="002B49B4">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581E354E" w:rsidR="00ED0F1E" w:rsidRDefault="00ED0F1E" w:rsidP="002B49B4">
            <w:pPr>
              <w:pStyle w:val="MDPI42tablebody"/>
              <w:spacing w:line="240" w:lineRule="auto"/>
              <w:jc w:val="left"/>
            </w:pPr>
            <w:r>
              <w:fldChar w:fldCharType="begin"/>
            </w:r>
            <w:r w:rsidR="00B54316">
              <w:instrText xml:space="preserve"> ADDIN EN.CITE &lt;EndNote&gt;&lt;Cite AuthorYear="1"&gt;&lt;Author&gt;Crants&lt;/Author&gt;&lt;Year&gt;2017&lt;/Year&gt;&lt;RecNum&gt;2033&lt;/RecNum&gt;&lt;DisplayText&gt;&lt;style size="10"&gt;Crants, et al. [36]&lt;/style&gt;&lt;/DisplayText&gt;&lt;record&gt;&lt;rec-number&gt;2033&lt;/rec-number&gt;&lt;foreign-keys&gt;&lt;key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sidR="00B54316">
              <w:rPr>
                <w:noProof/>
              </w:rPr>
              <w:t>Crants, et al. [36]</w:t>
            </w:r>
            <w:r>
              <w:fldChar w:fldCharType="end"/>
            </w:r>
          </w:p>
        </w:tc>
      </w:tr>
      <w:tr w:rsidR="00ED0F1E" w14:paraId="687EA906" w14:textId="77777777" w:rsidTr="002B49B4">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0232F7C9" w:rsidR="00ED0F1E" w:rsidRDefault="00ED0F1E"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PSIxMCI+R3VwdGEgYW5kIFJvc2VuIFszN10sIEd1cHRhLCBldCBhbC4gWzM4XTwvc3R5bGU+PC9E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B54316">
              <w:instrText xml:space="preserve"> ADDIN EN.CITE </w:instrText>
            </w:r>
            <w:r w:rsidR="00B54316">
              <w:fldChar w:fldCharType="begin">
                <w:fldData xml:space="preserve">PEVuZE5vdGU+PENpdGUgQXV0aG9yWWVhcj0iMSI+PEF1dGhvcj5HdXB0YTwvQXV0aG9yPjxZZWFy
PjIwMTk8L1llYXI+PFJlY051bT4yMDM1PC9SZWNOdW0+PERpc3BsYXlUZXh0PjxzdHlsZSBzaXpl
PSIxMCI+R3VwdGEgYW5kIFJvc2VuIFszN10sIEd1cHRhLCBldCBhbC4gWzM4XTwvc3R5bGU+PC9E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B54316">
              <w:instrText xml:space="preserve"> ADDIN EN.CITE.DATA </w:instrText>
            </w:r>
            <w:r w:rsidR="00B54316">
              <w:fldChar w:fldCharType="end"/>
            </w:r>
            <w:r>
              <w:fldChar w:fldCharType="separate"/>
            </w:r>
            <w:r w:rsidR="00B54316">
              <w:rPr>
                <w:noProof/>
              </w:rPr>
              <w:t>Gupta and Rosen [37], Gupta, et al. [38]</w:t>
            </w:r>
            <w:r>
              <w:fldChar w:fldCharType="end"/>
            </w:r>
          </w:p>
        </w:tc>
      </w:tr>
      <w:tr w:rsidR="00ED0F1E" w14:paraId="62819A4D" w14:textId="77777777" w:rsidTr="002B49B4">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5457DE16" w:rsidR="00ED0F1E" w:rsidRDefault="00ED0F1E" w:rsidP="002B49B4">
            <w:pPr>
              <w:pStyle w:val="MDPI42tablebody"/>
              <w:spacing w:line="240" w:lineRule="auto"/>
              <w:jc w:val="left"/>
            </w:pPr>
            <w:r>
              <w:fldChar w:fldCharType="begin"/>
            </w:r>
            <w:r w:rsidR="00B54316">
              <w:instrText xml:space="preserve"> ADDIN EN.CITE &lt;EndNote&gt;&lt;Cite AuthorYear="1"&gt;&lt;Author&gt;Bohman&lt;/Author&gt;&lt;Year&gt;2020&lt;/Year&gt;&lt;RecNum&gt;2700&lt;/RecNum&gt;&lt;DisplayText&gt;&lt;style size="10"&gt;Bohman, et al. [39]&lt;/style&gt;&lt;/DisplayText&gt;&lt;record&gt;&lt;rec-number&gt;2700&lt;/rec-number&gt;&lt;foreign-keys&gt;&lt;key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sidR="00B54316">
              <w:rPr>
                <w:noProof/>
              </w:rPr>
              <w:t>Bohman, et al. [39]</w:t>
            </w:r>
            <w:r>
              <w:fldChar w:fldCharType="end"/>
            </w:r>
          </w:p>
        </w:tc>
      </w:tr>
      <w:tr w:rsidR="00ED0F1E" w14:paraId="460360AA" w14:textId="77777777" w:rsidTr="002B49B4">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3DED7708" w:rsidR="00ED0F1E" w:rsidRDefault="00ED0F1E" w:rsidP="002B49B4">
            <w:pPr>
              <w:pStyle w:val="MDPI42tablebody"/>
              <w:spacing w:line="240" w:lineRule="auto"/>
              <w:jc w:val="left"/>
            </w:pPr>
            <w:r>
              <w:fldChar w:fldCharType="begin"/>
            </w:r>
            <w:r w:rsidR="00B54316">
              <w:instrText xml:space="preserve"> ADDIN EN.CITE &lt;EndNote&gt;&lt;Cite AuthorYear="1"&gt;&lt;Author&gt;Rosen&lt;/Author&gt;&lt;Year&gt;2021&lt;/Year&gt;&lt;RecNum&gt;2701&lt;/RecNum&gt;&lt;DisplayText&gt;&lt;style size="10"&gt;Rosen, et al. [40]&lt;/style&gt;&lt;/DisplayText&gt;&lt;record&gt;&lt;rec-number&gt;2701&lt;/rec-number&gt;&lt;foreign-keys&gt;&lt;key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sidR="00B54316">
              <w:rPr>
                <w:noProof/>
              </w:rPr>
              <w:t>Rosen, et al. [40]</w:t>
            </w:r>
            <w:r>
              <w:fldChar w:fldCharType="end"/>
            </w:r>
          </w:p>
        </w:tc>
      </w:tr>
    </w:tbl>
    <w:p w14:paraId="0AA032ED" w14:textId="77777777" w:rsidR="00ED0F1E" w:rsidRDefault="00ED0F1E" w:rsidP="00ED0F1E">
      <w:pPr>
        <w:pStyle w:val="MDPI43tablefooter"/>
      </w:pPr>
    </w:p>
    <w:p w14:paraId="3ECE676B" w14:textId="080638B5" w:rsidR="00ED0F1E" w:rsidRDefault="00ED0F1E" w:rsidP="00ED0F1E">
      <w:pPr>
        <w:pStyle w:val="MDPI31text"/>
      </w:pPr>
      <w:r w:rsidRPr="00EC0E19">
        <w:t>A randomized complete block design with three or four replicates was used in each field experiment. All studies evaluated at least 3 nitrogen rates (0 – 400 kg N ha-1) for Russet Burbank potato [</w:t>
      </w:r>
      <w:r w:rsidRPr="00F37899">
        <w:rPr>
          <w:i/>
          <w:iCs/>
        </w:rPr>
        <w:t>Solanum tuberosum</w:t>
      </w:r>
      <w:r w:rsidRPr="00EC0E19">
        <w:t xml:space="preserve"> (L.)], with some studies evaluating additional potato varieties (</w:t>
      </w:r>
      <w:r w:rsidR="0043243C">
        <w:t>Table 3</w:t>
      </w:r>
      <w:r w:rsidRPr="00EC0E19">
        <w:t xml:space="preserve">). Those studies </w:t>
      </w:r>
      <w:r>
        <w:t>that</w:t>
      </w:r>
      <w:r w:rsidRPr="00EC0E19">
        <w:t xml:space="preserve"> evaluated multiple varieties had either a factorial design, or split-plot design with variety treatment as the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Pr="002169F3">
        <w:t xml:space="preserve"> </w:t>
      </w:r>
      <w:r>
        <w:t xml:space="preserve">A summary of </w:t>
      </w:r>
      <w:r w:rsidR="00F37899">
        <w:t>N</w:t>
      </w:r>
      <w:r>
        <w:t xml:space="preserve"> management practices and varieties evaluated for each of these studies is summarized below (</w:t>
      </w:r>
      <w:r w:rsidR="0043243C">
        <w:t>Table 4</w:t>
      </w:r>
      <w:r>
        <w:t>)</w:t>
      </w:r>
      <w:r w:rsidRPr="0025283E">
        <w:t>.</w:t>
      </w:r>
    </w:p>
    <w:p w14:paraId="1C5FE053" w14:textId="6941D791" w:rsidR="004B69DA" w:rsidRDefault="004B69DA" w:rsidP="004B69DA">
      <w:pPr>
        <w:pStyle w:val="MDPI31text"/>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fldChar w:fldCharType="begin"/>
      </w:r>
      <w:r w:rsidR="00B54316">
        <w:instrText xml:space="preserve"> ADDIN EN.CITE &lt;EndNote&gt;&lt;Cite&gt;&lt;Author&gt;USDA&lt;/Author&gt;&lt;Year&gt;1997&lt;/Year&gt;&lt;RecNum&gt;1722&lt;/RecNum&gt;&lt;DisplayText&gt;&lt;style size="10"&gt;[41]&lt;/style&gt;&lt;/DisplayText&gt;&lt;record&gt;&lt;rec-number&gt;1722&lt;/rec-number&gt;&lt;foreign-keys&gt;&lt;key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sidR="00B54316">
        <w:rPr>
          <w:noProof/>
        </w:rPr>
        <w:t>[41]</w:t>
      </w:r>
      <w:r>
        <w:fldChar w:fldCharType="end"/>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rsidR="00B54316">
        <w:instrText xml:space="preserve"> ADDIN EN.CITE &lt;EndNote&gt;&lt;Cite&gt;&lt;Author&gt;Horneck&lt;/Author&gt;&lt;Year&gt;1998&lt;/Year&gt;&lt;RecNum&gt;1723&lt;/RecNum&gt;&lt;DisplayText&gt;&lt;style size="10"&gt;[42]&lt;/style&gt;&lt;/DisplayText&gt;&lt;record&gt;&lt;rec-number&gt;1723&lt;/rec-number&gt;&lt;foreign-keys&gt;&lt;key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sidR="00B54316">
        <w:rPr>
          <w:noProof/>
        </w:rPr>
        <w:t>[42]</w:t>
      </w:r>
      <w:r>
        <w:fldChar w:fldCharType="end"/>
      </w:r>
      <w:r w:rsidRPr="00EC0E19">
        <w:t>, or with the salicylic Kjeldahl method</w:t>
      </w:r>
      <w:r w:rsidR="00632BEE">
        <w:t xml:space="preserve"> </w:t>
      </w:r>
      <w:r w:rsidR="00B54316">
        <w:fldChar w:fldCharType="begin"/>
      </w:r>
      <w:r w:rsidR="00B54316">
        <w:instrText xml:space="preserve"> ADDIN EN.CITE &lt;EndNote&gt;&lt;Cite&gt;&lt;Author&gt;Horwitz&lt;/Author&gt;&lt;Year&gt;1970&lt;/Year&gt;&lt;RecNum&gt;2706&lt;/RecNum&gt;&lt;DisplayText&gt;&lt;style size="10"&gt;[43]&lt;/style&gt;&lt;/DisplayText&gt;&lt;record&gt;&lt;rec-number&gt;2706&lt;/rec-number&gt;&lt;foreign-keys&gt;&lt;key app="EN" db-id="sszpfv5zm0wprde2r5bvw2wpdezsax0e9spx" timestamp="1626703200"&gt;2706&lt;/key&gt;&lt;/foreign-keys&gt;&lt;ref-type name="Book"&gt;6&lt;/ref-type&gt;&lt;contributors&gt;&lt;authors&gt;&lt;author&gt;Horwitz, W.&lt;/author&gt;&lt;author&gt;Chichilo, P.&lt;/author&gt;&lt;author&gt;Reynolds, H.&lt;/author&gt;&lt;/authors&gt;&lt;/contributors&gt;&lt;titles&gt;&lt;title&gt;Official methods of analysis of the Association of Official Analytical Chemists.&lt;/title&gt;&lt;/titles&gt;&lt;edition&gt;11th&lt;/edition&gt;&lt;dates&gt;&lt;year&gt;1970&lt;/year&gt;&lt;/dates&gt;&lt;pub-location&gt;Washington, DC&lt;/pub-location&gt;&lt;publisher&gt;Association of Official Analytical Chemists.&lt;/publisher&gt;&lt;urls&gt;&lt;/urls&gt;&lt;/record&gt;&lt;/Cite&gt;&lt;/EndNote&gt;</w:instrText>
      </w:r>
      <w:r w:rsidR="00B54316">
        <w:fldChar w:fldCharType="separate"/>
      </w:r>
      <w:r w:rsidR="00B54316">
        <w:rPr>
          <w:noProof/>
        </w:rPr>
        <w:t>[43]</w:t>
      </w:r>
      <w:r w:rsidR="00B54316">
        <w:fldChar w:fldCharType="end"/>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[N</w:t>
      </w:r>
      <w:r w:rsidRPr="00CB7F9E">
        <w:rPr>
          <w:vertAlign w:val="subscript"/>
        </w:rPr>
        <w:t>Plant</w:t>
      </w:r>
      <w:r w:rsidRPr="00EC0E19">
        <w:t>] (kg N ha</w:t>
      </w:r>
      <w:r w:rsidRPr="00336092">
        <w:rPr>
          <w:vertAlign w:val="superscript"/>
        </w:rPr>
        <w:t>-1</w:t>
      </w:r>
      <w:r w:rsidRPr="00EC0E19">
        <w:t>)</w:t>
      </w:r>
      <w:r>
        <w:t xml:space="preserve"> was calculated from the sum of tuber and vine N content. To</w:t>
      </w:r>
      <w:r w:rsidRPr="00EC0E19">
        <w:t xml:space="preserve">tal plant </w:t>
      </w:r>
      <w:r w:rsidRPr="00EC0E19">
        <w:lastRenderedPageBreak/>
        <w:t>dry weight biomass [W] (Mg dry wt. ha</w:t>
      </w:r>
      <w:r w:rsidRPr="00336092">
        <w:rPr>
          <w:vertAlign w:val="superscript"/>
        </w:rPr>
        <w:t>-1</w:t>
      </w:r>
      <w:r w:rsidRPr="00EC0E19">
        <w:t xml:space="preserve">) was </w:t>
      </w:r>
      <w:r>
        <w:t>calculated</w:t>
      </w:r>
      <w:r w:rsidRPr="00EC0E19">
        <w:t xml:space="preserve"> from the sum of</w:t>
      </w:r>
      <w:r>
        <w:t xml:space="preserve"> vine and tuber </w:t>
      </w:r>
      <w:r w:rsidRPr="00EC0E19">
        <w:t>dry weight biomass</w:t>
      </w:r>
      <w:r>
        <w:t>. Plant N concentration [%N</w:t>
      </w:r>
      <w:r>
        <w:rPr>
          <w:vertAlign w:val="subscript"/>
        </w:rPr>
        <w:t>Plant</w:t>
      </w:r>
      <w:r>
        <w:t>] (g N 100 g</w:t>
      </w:r>
      <w:r>
        <w:rPr>
          <w:vertAlign w:val="superscript"/>
        </w:rPr>
        <w:t>-1</w:t>
      </w:r>
      <w:r>
        <w:t>) was calculated as the ratio of N</w:t>
      </w:r>
      <w:r>
        <w:rPr>
          <w:vertAlign w:val="subscript"/>
        </w:rPr>
        <w:t>Plant</w:t>
      </w:r>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2B49B4">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2B49B4">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2B49B4">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2B49B4">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2B49B4">
            <w:pPr>
              <w:pStyle w:val="MDPI42tablebody"/>
              <w:spacing w:line="240" w:lineRule="auto"/>
              <w:rPr>
                <w:b/>
              </w:rPr>
            </w:pPr>
            <w:r>
              <w:rPr>
                <w:b/>
              </w:rPr>
              <w:t>Varieties</w:t>
            </w:r>
          </w:p>
        </w:tc>
      </w:tr>
      <w:tr w:rsidR="00ED0F1E" w14:paraId="342BED58" w14:textId="77777777" w:rsidTr="002B49B4">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2B49B4">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2B49B4">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2B49B4">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2B49B4">
            <w:pPr>
              <w:pStyle w:val="MDPI42tablebody"/>
              <w:spacing w:line="240" w:lineRule="auto"/>
              <w:jc w:val="left"/>
            </w:pPr>
            <w:r w:rsidRPr="00C43615">
              <w:t>Russet Burbank</w:t>
            </w:r>
          </w:p>
        </w:tc>
      </w:tr>
      <w:tr w:rsidR="00ED0F1E" w14:paraId="4E1BA538" w14:textId="77777777" w:rsidTr="002B49B4">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2B49B4">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2B49B4">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2B49B4">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2B49B4">
            <w:pPr>
              <w:pStyle w:val="MDPI42tablebody"/>
              <w:spacing w:line="240" w:lineRule="auto"/>
              <w:jc w:val="left"/>
            </w:pPr>
            <w:r w:rsidRPr="00C43615">
              <w:t>Russet Burbank, Dakota Russet, Easton</w:t>
            </w:r>
          </w:p>
        </w:tc>
      </w:tr>
      <w:tr w:rsidR="00ED0F1E" w14:paraId="7E5909D8" w14:textId="77777777" w:rsidTr="002B49B4">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2B49B4">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2B49B4">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2B49B4">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2B49B4">
            <w:pPr>
              <w:pStyle w:val="MDPI42tablebody"/>
              <w:spacing w:line="240" w:lineRule="auto"/>
              <w:jc w:val="left"/>
            </w:pPr>
            <w:r w:rsidRPr="00C43615">
              <w:t>Russet Burbank</w:t>
            </w:r>
          </w:p>
        </w:tc>
      </w:tr>
      <w:tr w:rsidR="00ED0F1E" w14:paraId="485A8702" w14:textId="77777777" w:rsidTr="002B49B4">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2B49B4">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2B49B4">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2B49B4">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2B49B4">
            <w:pPr>
              <w:pStyle w:val="MDPI42tablebody"/>
              <w:spacing w:line="240" w:lineRule="auto"/>
              <w:jc w:val="left"/>
            </w:pPr>
            <w:r>
              <w:t>Russet Burbank, Clearwater, Umatilla Russet</w:t>
            </w:r>
          </w:p>
        </w:tc>
      </w:tr>
      <w:tr w:rsidR="00ED0F1E" w14:paraId="33015A26" w14:textId="77777777" w:rsidTr="002B49B4">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2B49B4">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2B49B4">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2B49B4">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2B49B4">
            <w:pPr>
              <w:pStyle w:val="MDPI42tablebody"/>
              <w:spacing w:line="240" w:lineRule="auto"/>
              <w:jc w:val="left"/>
            </w:pPr>
            <w:r>
              <w:t>Russet Burbank</w:t>
            </w:r>
          </w:p>
        </w:tc>
      </w:tr>
      <w:tr w:rsidR="00ED0F1E" w14:paraId="0E146E1C" w14:textId="77777777" w:rsidTr="002B49B4">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2B49B4">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2B49B4">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2B49B4">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2B49B4">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50ADA41C" w:rsidR="00ED0F1E" w:rsidRDefault="00ED0F1E" w:rsidP="00ED0F1E">
      <w:pPr>
        <w:pStyle w:val="MDPI31text"/>
      </w:pPr>
      <w:r w:rsidRPr="001C4771">
        <w:t>Whole-plant samples were</w:t>
      </w:r>
      <w:r>
        <w:t xml:space="preserve"> also</w:t>
      </w:r>
      <w:r w:rsidRPr="001C4771">
        <w:t xml:space="preserve"> regularly collected during the period of late-May to early-September (Table </w:t>
      </w:r>
      <w:r w:rsidR="00EA452A">
        <w:t>5</w:t>
      </w:r>
      <w:r w:rsidRPr="001C4771">
        <w:t>).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Calculations for W, N</w:t>
      </w:r>
      <w:r>
        <w:rPr>
          <w:vertAlign w:val="subscript"/>
        </w:rPr>
        <w:t>Plant</w:t>
      </w:r>
      <w:r>
        <w:t>, and %N</w:t>
      </w:r>
      <w:r>
        <w:rPr>
          <w:vertAlign w:val="subscript"/>
        </w:rPr>
        <w:t>Plant</w:t>
      </w:r>
      <w:r>
        <w:t xml:space="preserve"> were </w:t>
      </w:r>
      <w:r w:rsidR="00632BEE">
        <w:t>the same as</w:t>
      </w:r>
      <w:r>
        <w:t xml:space="preserve"> methods previously described</w:t>
      </w:r>
      <w:r w:rsidR="009115C1">
        <w:t xml:space="preserve"> above</w:t>
      </w:r>
      <w:r>
        <w:t>.</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2B49B4">
        <w:tc>
          <w:tcPr>
            <w:tcW w:w="1152" w:type="dxa"/>
            <w:vMerge w:val="restart"/>
            <w:tcBorders>
              <w:top w:val="single" w:sz="8" w:space="0" w:color="auto"/>
              <w:left w:val="nil"/>
              <w:right w:val="nil"/>
            </w:tcBorders>
            <w:vAlign w:val="center"/>
          </w:tcPr>
          <w:p w14:paraId="11876744" w14:textId="77777777" w:rsidR="00ED0F1E" w:rsidRDefault="00ED0F1E" w:rsidP="002B49B4">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2B49B4">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2B49B4">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2B49B4">
            <w:pPr>
              <w:pStyle w:val="MDPI42tablebody"/>
              <w:spacing w:line="240" w:lineRule="auto"/>
              <w:rPr>
                <w:b/>
              </w:rPr>
            </w:pPr>
            <w:r>
              <w:rPr>
                <w:b/>
              </w:rPr>
              <w:t>Harvest</w:t>
            </w:r>
          </w:p>
        </w:tc>
      </w:tr>
      <w:tr w:rsidR="00ED0F1E" w14:paraId="3B7B69AE" w14:textId="77777777" w:rsidTr="002B49B4">
        <w:tc>
          <w:tcPr>
            <w:tcW w:w="1152" w:type="dxa"/>
            <w:vMerge/>
            <w:tcBorders>
              <w:left w:val="nil"/>
              <w:bottom w:val="single" w:sz="4" w:space="0" w:color="auto"/>
              <w:right w:val="nil"/>
            </w:tcBorders>
            <w:vAlign w:val="center"/>
            <w:hideMark/>
          </w:tcPr>
          <w:p w14:paraId="6190D7CF" w14:textId="77777777" w:rsidR="00ED0F1E" w:rsidRDefault="00ED0F1E" w:rsidP="002B49B4">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2B49B4">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2B49B4">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2B49B4">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2B49B4">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2B49B4">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2B49B4">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2B49B4">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2B49B4">
            <w:pPr>
              <w:pStyle w:val="MDPI42tablebody"/>
              <w:spacing w:line="240" w:lineRule="auto"/>
              <w:rPr>
                <w:b/>
              </w:rPr>
            </w:pPr>
          </w:p>
        </w:tc>
      </w:tr>
      <w:tr w:rsidR="00ED0F1E" w14:paraId="707D641F" w14:textId="77777777" w:rsidTr="002B49B4">
        <w:trPr>
          <w:trHeight w:val="288"/>
        </w:trPr>
        <w:tc>
          <w:tcPr>
            <w:tcW w:w="1152" w:type="dxa"/>
            <w:tcBorders>
              <w:top w:val="nil"/>
              <w:left w:val="nil"/>
              <w:bottom w:val="nil"/>
              <w:right w:val="nil"/>
            </w:tcBorders>
            <w:vAlign w:val="center"/>
            <w:hideMark/>
          </w:tcPr>
          <w:p w14:paraId="08921D98" w14:textId="77777777" w:rsidR="00ED0F1E" w:rsidRDefault="00ED0F1E" w:rsidP="002B49B4">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2B49B4">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2B49B4">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2B49B4">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2B49B4">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2B49B4">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2B49B4">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2B49B4">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2B49B4">
            <w:pPr>
              <w:pStyle w:val="MDPI42tablebody"/>
              <w:spacing w:line="240" w:lineRule="auto"/>
            </w:pPr>
            <w:r>
              <w:t>10 Sept.</w:t>
            </w:r>
          </w:p>
        </w:tc>
      </w:tr>
      <w:tr w:rsidR="00ED0F1E" w14:paraId="00BA4E5C" w14:textId="77777777" w:rsidTr="002B49B4">
        <w:trPr>
          <w:trHeight w:val="288"/>
        </w:trPr>
        <w:tc>
          <w:tcPr>
            <w:tcW w:w="1152" w:type="dxa"/>
            <w:tcBorders>
              <w:top w:val="nil"/>
              <w:left w:val="nil"/>
              <w:bottom w:val="dotted" w:sz="4" w:space="0" w:color="auto"/>
              <w:right w:val="nil"/>
            </w:tcBorders>
            <w:vAlign w:val="center"/>
          </w:tcPr>
          <w:p w14:paraId="1576F44C" w14:textId="77777777" w:rsidR="00ED0F1E" w:rsidRDefault="00ED0F1E" w:rsidP="002B49B4">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2B49B4">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2B49B4">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2B49B4">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2B49B4">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2B49B4">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2B49B4">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2B49B4">
            <w:pPr>
              <w:pStyle w:val="MDPI42tablebody"/>
              <w:spacing w:line="240" w:lineRule="auto"/>
            </w:pPr>
            <w:r>
              <w:t>15 Sept.</w:t>
            </w:r>
          </w:p>
        </w:tc>
      </w:tr>
      <w:tr w:rsidR="00ED0F1E" w14:paraId="576FFE54" w14:textId="77777777" w:rsidTr="002B49B4">
        <w:trPr>
          <w:trHeight w:val="288"/>
        </w:trPr>
        <w:tc>
          <w:tcPr>
            <w:tcW w:w="1152" w:type="dxa"/>
            <w:tcBorders>
              <w:top w:val="dotted" w:sz="4" w:space="0" w:color="auto"/>
              <w:left w:val="nil"/>
              <w:bottom w:val="nil"/>
              <w:right w:val="nil"/>
            </w:tcBorders>
            <w:vAlign w:val="center"/>
          </w:tcPr>
          <w:p w14:paraId="065CCDA8" w14:textId="77777777" w:rsidR="00ED0F1E" w:rsidRDefault="00ED0F1E" w:rsidP="002B49B4">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2B49B4">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2B49B4">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2B49B4">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2B49B4">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2B49B4">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2B49B4">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2B49B4">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2B49B4">
            <w:pPr>
              <w:pStyle w:val="MDPI42tablebody"/>
              <w:spacing w:line="240" w:lineRule="auto"/>
            </w:pPr>
            <w:r>
              <w:t>15 Sept.</w:t>
            </w:r>
          </w:p>
        </w:tc>
      </w:tr>
      <w:tr w:rsidR="00ED0F1E" w14:paraId="1FEC8480" w14:textId="77777777" w:rsidTr="002B49B4">
        <w:trPr>
          <w:trHeight w:val="288"/>
        </w:trPr>
        <w:tc>
          <w:tcPr>
            <w:tcW w:w="1152" w:type="dxa"/>
            <w:tcBorders>
              <w:top w:val="nil"/>
              <w:left w:val="nil"/>
              <w:bottom w:val="dotted" w:sz="4" w:space="0" w:color="auto"/>
              <w:right w:val="nil"/>
            </w:tcBorders>
            <w:vAlign w:val="center"/>
          </w:tcPr>
          <w:p w14:paraId="7E7CD020" w14:textId="77777777" w:rsidR="00ED0F1E" w:rsidRDefault="00ED0F1E" w:rsidP="002B49B4">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2B49B4">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2B49B4">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2B49B4">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2B49B4">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2B49B4">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2B49B4">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2B49B4">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2B49B4">
            <w:pPr>
              <w:pStyle w:val="MDPI42tablebody"/>
              <w:spacing w:line="240" w:lineRule="auto"/>
            </w:pPr>
            <w:r>
              <w:t>16 Sept.</w:t>
            </w:r>
          </w:p>
        </w:tc>
      </w:tr>
      <w:tr w:rsidR="00ED0F1E" w14:paraId="1265BB90" w14:textId="77777777" w:rsidTr="002B49B4">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2B49B4">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2B49B4">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2B49B4">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2B49B4">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2B49B4">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2B49B4">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2B49B4">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2B49B4">
            <w:pPr>
              <w:pStyle w:val="MDPI42tablebody"/>
              <w:spacing w:line="240" w:lineRule="auto"/>
            </w:pPr>
            <w:r>
              <w:t>13 Sept.</w:t>
            </w:r>
          </w:p>
        </w:tc>
      </w:tr>
      <w:tr w:rsidR="00ED0F1E" w14:paraId="1AE6FEFB" w14:textId="77777777" w:rsidTr="002B49B4">
        <w:trPr>
          <w:trHeight w:val="288"/>
        </w:trPr>
        <w:tc>
          <w:tcPr>
            <w:tcW w:w="1152" w:type="dxa"/>
            <w:tcBorders>
              <w:top w:val="dotted" w:sz="4" w:space="0" w:color="auto"/>
              <w:left w:val="nil"/>
              <w:bottom w:val="nil"/>
              <w:right w:val="nil"/>
            </w:tcBorders>
            <w:vAlign w:val="center"/>
          </w:tcPr>
          <w:p w14:paraId="63D938CF" w14:textId="77777777" w:rsidR="00ED0F1E" w:rsidRDefault="00ED0F1E" w:rsidP="002B49B4">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2B49B4">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2B49B4">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2B49B4">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2B49B4">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2B49B4">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2B49B4">
            <w:pPr>
              <w:pStyle w:val="MDPI42tablebody"/>
              <w:spacing w:line="240" w:lineRule="auto"/>
            </w:pPr>
            <w:r>
              <w:t>13 Sept.</w:t>
            </w:r>
          </w:p>
        </w:tc>
      </w:tr>
      <w:tr w:rsidR="00ED0F1E" w14:paraId="48136D59" w14:textId="77777777" w:rsidTr="002B49B4">
        <w:trPr>
          <w:trHeight w:val="288"/>
        </w:trPr>
        <w:tc>
          <w:tcPr>
            <w:tcW w:w="1152" w:type="dxa"/>
            <w:tcBorders>
              <w:top w:val="nil"/>
              <w:left w:val="nil"/>
              <w:bottom w:val="dotted" w:sz="4" w:space="0" w:color="auto"/>
              <w:right w:val="nil"/>
            </w:tcBorders>
            <w:vAlign w:val="center"/>
          </w:tcPr>
          <w:p w14:paraId="2AD0923D" w14:textId="77777777" w:rsidR="00ED0F1E" w:rsidRDefault="00ED0F1E" w:rsidP="002B49B4">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2B49B4">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2B49B4">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2B49B4">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2B49B4">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2B49B4">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2B49B4">
            <w:pPr>
              <w:pStyle w:val="MDPI42tablebody"/>
              <w:spacing w:line="240" w:lineRule="auto"/>
            </w:pPr>
            <w:r>
              <w:t>16 Sept.</w:t>
            </w:r>
          </w:p>
        </w:tc>
      </w:tr>
      <w:tr w:rsidR="00ED0F1E" w14:paraId="4E9C0F4F" w14:textId="77777777" w:rsidTr="002B49B4">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2B49B4">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2B49B4">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2B49B4">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2B49B4">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2B49B4">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2B49B4">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2B49B4">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2B49B4">
            <w:pPr>
              <w:pStyle w:val="MDPI42tablebody"/>
              <w:spacing w:line="240" w:lineRule="auto"/>
            </w:pPr>
            <w:r>
              <w:t>16 Sept.</w:t>
            </w:r>
          </w:p>
        </w:tc>
      </w:tr>
      <w:tr w:rsidR="00ED0F1E" w14:paraId="3C9865D1" w14:textId="77777777" w:rsidTr="002B49B4">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2B49B4">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2B49B4">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2B49B4">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2B49B4">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2B49B4">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2B49B4">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2B49B4">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t>4</w:t>
      </w:r>
      <w:r w:rsidR="00ED0F1E">
        <w:t>.1.2. Previously Published Data – Belgium, Argentina, and Canada</w:t>
      </w:r>
    </w:p>
    <w:p w14:paraId="5D32A25D" w14:textId="5EA12D32" w:rsidR="00ED0F1E" w:rsidRDefault="00ED0F1E" w:rsidP="00ED0F1E">
      <w:pPr>
        <w:pStyle w:val="MDPI31text"/>
      </w:pPr>
      <w:r>
        <w:t xml:space="preserve">Experimental data reported in two previous studies,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and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was included in the analysis conducted for the present study. The data from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comprises two separate experimental data sets from Argentina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and Canada </w:t>
      </w:r>
      <w:r>
        <w:fldChar w:fldCharType="begin">
          <w:fldData xml:space="preserve">PEVuZE5vdGU+PENpdGU+PEF1dGhvcj5Cw6lsYW5nZXI8L0F1dGhvcj48WWVhcj4yMDAwPC9ZZWFy
PjxSZWNOdW0+MTkzMjwvUmVjTnVtPjxEaXNwbGF5VGV4dD48c3R5bGUgc2l6ZT0iMTAiPlsxNSwg
NDQsIDQ1XTwvc3R5bGU+PC9EaXNwbGF5VGV4dD48cmVjb3JkPjxyZWMtbnVtYmVyPjE5MzI8L3Jl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B54316">
        <w:instrText xml:space="preserve"> ADDIN EN.CITE </w:instrText>
      </w:r>
      <w:r w:rsidR="00B54316">
        <w:fldChar w:fldCharType="begin">
          <w:fldData xml:space="preserve">PEVuZE5vdGU+PENpdGU+PEF1dGhvcj5Cw6lsYW5nZXI8L0F1dGhvcj48WWVhcj4yMDAwPC9ZZWFy
PjxSZWNOdW0+MTkzMjwvUmVjTnVtPjxEaXNwbGF5VGV4dD48c3R5bGUgc2l6ZT0iMTAiPlsxNSwg
NDQsIDQ1XTwvc3R5bGU+PC9EaXNwbGF5VGV4dD48cmVjb3JkPjxyZWMtbnVtYmVyPjE5MzI8L3Jl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B54316">
        <w:instrText xml:space="preserve"> ADDIN EN.CITE.DATA </w:instrText>
      </w:r>
      <w:r w:rsidR="00B54316">
        <w:fldChar w:fldCharType="end"/>
      </w:r>
      <w:r>
        <w:fldChar w:fldCharType="separate"/>
      </w:r>
      <w:r w:rsidR="00B54316">
        <w:rPr>
          <w:noProof/>
        </w:rPr>
        <w:t>[15, 44, 45]</w:t>
      </w:r>
      <w:r>
        <w:fldChar w:fldCharType="end"/>
      </w:r>
      <w:r>
        <w:t xml:space="preserve">. </w:t>
      </w:r>
    </w:p>
    <w:p w14:paraId="7A8BA9EA" w14:textId="55828E65" w:rsidR="00ED0F1E" w:rsidRDefault="00ED0F1E" w:rsidP="00ED0F1E">
      <w:pPr>
        <w:pStyle w:val="MDPI31text"/>
      </w:pPr>
      <w:r>
        <w:t>In the Canadian study, two varieties (Russet Burbank and Shepody) and four N fertilization rates (0, 50, 100, and 250 kg ha</w:t>
      </w:r>
      <w:r>
        <w:rPr>
          <w:vertAlign w:val="superscript"/>
        </w:rPr>
        <w:t>-1</w:t>
      </w:r>
      <w:r>
        <w:t>) were evaluated under non-water limiting conditions with each variety having 4 site-years of experimental data and 10 sampling dates per site year (</w:t>
      </w:r>
      <w:r w:rsidR="0043243C">
        <w:t>Table 2</w:t>
      </w:r>
      <w:r>
        <w:t xml:space="preserve">). In the Argentina study, five varieties (Bannock Russet, Gem Russet, Innovator, Markies Russet, and Umatilla Russet) and four N fertilization rate (0, 80, 150, </w:t>
      </w:r>
      <w:r>
        <w:lastRenderedPageBreak/>
        <w:t>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study used in the present analysis was included in this previous publication.</w:t>
      </w:r>
    </w:p>
    <w:p w14:paraId="5B0277EF" w14:textId="636E6051" w:rsidR="00ED0F1E" w:rsidRDefault="00ED0F1E" w:rsidP="00ED0F1E">
      <w:pPr>
        <w:pStyle w:val="MDPI31text"/>
      </w:pPr>
      <w:r>
        <w:t xml:space="preserve">The data from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represents multiple experimental data set from Belgium. In the Belgium studies, three to six N rates (ranging from 0 to 250 kg N ha</w:t>
      </w:r>
      <w:r>
        <w:rPr>
          <w:vertAlign w:val="superscript"/>
        </w:rPr>
        <w:t>-1</w:t>
      </w:r>
      <w:r>
        <w:t>) were evaluated for two varieties (Bintje and Charlotte) for 17 and 7 site-years, respectively, and with 1 to 8 sampling dates per site year (</w:t>
      </w:r>
      <w:r w:rsidR="0043243C">
        <w:t>Table 2</w:t>
      </w:r>
      <w:r>
        <w:t xml:space="preserve">). Only a portion of the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77777777" w:rsidR="00ED0F1E" w:rsidRDefault="00ED0F1E" w:rsidP="00ED0F1E">
      <w:pPr>
        <w:pStyle w:val="MDPI31text"/>
      </w:pPr>
      <w:r>
        <w:t xml:space="preserve">Based on the general approach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4C977A9F" w:rsidR="00ED0F1E" w:rsidRDefault="00ED0F1E" w:rsidP="00ED0F1E">
      <w:pPr>
        <w:pStyle w:val="MDPI31text"/>
      </w:pPr>
      <w:r>
        <w:t>In summary, this statistical approach uses the entire set of experimental data (</w:t>
      </w:r>
      <w:r w:rsidR="00157166">
        <w:t>Figure 7</w:t>
      </w:r>
      <w:r>
        <w:t xml:space="preserve">a) and does not require any preliminary or intermediary statistical analysis. At the level of each experimental sampling date, a linear-plateau curve is fit for biomass as a function of </w:t>
      </w:r>
      <w:r w:rsidR="00490F0F">
        <w:t>N</w:t>
      </w:r>
      <w:r>
        <w:t xml:space="preserve"> concentration (</w:t>
      </w:r>
      <w:r w:rsidR="00157166">
        <w:t>Figure 7</w:t>
      </w:r>
      <w:r>
        <w:t xml:space="preserve">b) and the join point of the linear-plateau curve is used to define the </w:t>
      </w:r>
      <w:r>
        <w:rPr>
          <w:szCs w:val="18"/>
        </w:rPr>
        <w:t>%N</w:t>
      </w:r>
      <w:r>
        <w:rPr>
          <w:szCs w:val="18"/>
          <w:vertAlign w:val="subscript"/>
        </w:rPr>
        <w:t>c</w:t>
      </w:r>
      <w:r>
        <w:t xml:space="preserve">. Simultaneously, a negative exponential curve (i.e., CNDC) is fit across all experimental sampling dates for a given </w:t>
      </w:r>
      <w:r w:rsidR="00504C6C">
        <w:t xml:space="preserve">effect </w:t>
      </w:r>
      <w:r>
        <w:t>level of the hierarchical model (</w:t>
      </w:r>
      <w:r w:rsidR="007A0EA5">
        <w:t>e.g</w:t>
      </w:r>
      <w:r>
        <w:t>., location, variety) where the critical point of each linear-plateau curves lies exactly upon the negative exponential curve (</w:t>
      </w:r>
      <w:r w:rsidR="00157166">
        <w:t>Figure 7</w:t>
      </w:r>
      <w:r>
        <w:t>b).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points (</w:t>
      </w:r>
      <w:r w:rsidR="00157166">
        <w:t>Figure 7</w:t>
      </w:r>
      <w:r>
        <w:t>c) which are identified via an intermediate statistical analysis (i.e., ANOVA and protected multiple comparisons).</w:t>
      </w:r>
    </w:p>
    <w:p w14:paraId="7BB284AC" w14:textId="77777777" w:rsidR="00ED0F1E" w:rsidRDefault="00ED0F1E" w:rsidP="00ED0F1E">
      <w:pPr>
        <w:pStyle w:val="MDPI52figure"/>
        <w:ind w:left="2610" w:right="26"/>
        <w:jc w:val="left"/>
      </w:pPr>
      <w:r w:rsidRPr="00CC617B">
        <w:rPr>
          <w:noProof/>
        </w:rPr>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3E85DF05" w:rsidR="00ED0F1E" w:rsidRPr="00526733" w:rsidRDefault="00157166" w:rsidP="00ED0F1E">
      <w:pPr>
        <w:pStyle w:val="MDPI51figurecaption"/>
        <w:ind w:left="2610" w:right="26"/>
        <w:jc w:val="both"/>
        <w:rPr>
          <w:bCs/>
        </w:rPr>
      </w:pPr>
      <w:r>
        <w:rPr>
          <w:b/>
        </w:rPr>
        <w:t>Figure 7</w:t>
      </w:r>
      <w:r w:rsidR="00ED0F1E" w:rsidRPr="00526733">
        <w:rPr>
          <w:b/>
        </w:rPr>
        <w:t>.</w:t>
      </w:r>
      <w:r w:rsidR="00ED0F1E" w:rsidRPr="00526733">
        <w:rPr>
          <w:bCs/>
        </w:rPr>
        <w:t xml:space="preserve"> Hypothetical example of statistical methods used showing </w:t>
      </w:r>
      <w:r w:rsidR="00B108C7">
        <w:rPr>
          <w:bCs/>
        </w:rPr>
        <w:t xml:space="preserve">N concentration [%N] as a function of biomass [W] on five experimental sampling dates for </w:t>
      </w:r>
      <w:r w:rsidR="00ED0F1E" w:rsidRPr="00526733">
        <w:rPr>
          <w:bCs/>
        </w:rPr>
        <w:t>(a) raw experimental data, (b) linear-plateau curves (solid colored lines) fitted for each experimental sampling date (points with each date distinguished by color) and the critical N dilution curve (solid black line) fitted using the hierarchical Bayesian method based on Makowski, et al.,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5AFC1F61" w:rsidR="00ED0F1E" w:rsidRDefault="00ED0F1E" w:rsidP="00ED0F1E">
      <w:pPr>
        <w:pStyle w:val="MDPI31text"/>
      </w:pPr>
      <w:r>
        <w:t xml:space="preserve">The Bayesian hierarchical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was extended to explicitly include E (e.g., location) and G (e.g., variety) interactions within the fitted model. This was implemented through the nesting of experimental data according to </w:t>
      </w:r>
      <w:r w:rsidRPr="00A61F95">
        <w:t>location</w:t>
      </w:r>
      <w:r>
        <w:t xml:space="preserve"> and variety within location (</w:t>
      </w:r>
      <w:r w:rsidR="00157166">
        <w:t>Figure 8</w:t>
      </w:r>
      <w:r>
        <w:t>)</w:t>
      </w:r>
      <w:r w:rsidR="00541460">
        <w:t xml:space="preserve"> and t</w:t>
      </w:r>
      <w:r>
        <w:t>he linear-plateau curve fitted for each experimental sampling date can be pooled at various nested levels of location or variety within location.</w:t>
      </w:r>
    </w:p>
    <w:p w14:paraId="09337340" w14:textId="72919612" w:rsidR="00ED0F1E" w:rsidRDefault="00ED0F1E" w:rsidP="00ED0F1E">
      <w:pPr>
        <w:pStyle w:val="MDPI31text"/>
      </w:pPr>
      <w:r>
        <w:lastRenderedPageBreak/>
        <w:t xml:space="preserve">Using </w:t>
      </w:r>
      <w:r w:rsidRPr="00E13A5A">
        <w:rPr>
          <w:i/>
          <w:iCs/>
        </w:rPr>
        <w:t>R</w:t>
      </w:r>
      <w:r>
        <w:t xml:space="preserve"> </w:t>
      </w:r>
      <w:r>
        <w:fldChar w:fldCharType="begin"/>
      </w:r>
      <w:r w:rsidR="00B54316">
        <w:instrText xml:space="preserve"> ADDIN EN.CITE &lt;EndNote&gt;&lt;Cite&gt;&lt;Author&gt;R Core Team&lt;/Author&gt;&lt;Year&gt;2021&lt;/Year&gt;&lt;RecNum&gt;1749&lt;/RecNum&gt;&lt;DisplayText&gt;&lt;style size="10"&gt;[46]&lt;/style&gt;&lt;/DisplayText&gt;&lt;record&gt;&lt;rec-number&gt;1749&lt;/rec-number&gt;&lt;foreign-keys&gt;&lt;key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sidR="00B54316">
        <w:rPr>
          <w:noProof/>
        </w:rPr>
        <w:t>[46]</w:t>
      </w:r>
      <w:r>
        <w:fldChar w:fldCharType="end"/>
      </w:r>
      <w:r>
        <w:t xml:space="preserve">, the </w:t>
      </w:r>
      <w:r>
        <w:rPr>
          <w:i/>
          <w:iCs/>
        </w:rPr>
        <w:t>brms</w:t>
      </w:r>
      <w:r>
        <w:t xml:space="preserve"> package </w:t>
      </w:r>
      <w:r>
        <w:fldChar w:fldCharType="begin"/>
      </w:r>
      <w:r w:rsidR="00B54316">
        <w:instrText xml:space="preserve"> ADDIN EN.CITE &lt;EndNote&gt;&lt;Cite&gt;&lt;Author&gt;Bürkner&lt;/Author&gt;&lt;Year&gt;2017&lt;/Year&gt;&lt;RecNum&gt;2692&lt;/RecNum&gt;&lt;DisplayText&gt;&lt;style size="10"&gt;[47, 48]&lt;/style&gt;&lt;/DisplayText&gt;&lt;record&gt;&lt;rec-number&gt;2692&lt;/rec-number&gt;&lt;foreign-keys&gt;&lt;key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sidR="00B54316">
        <w:rPr>
          <w:noProof/>
        </w:rPr>
        <w:t>[47, 48]</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rsidR="00B54316">
        <w:instrText xml:space="preserve"> ADDIN EN.CITE &lt;EndNote&gt;&lt;Cite&gt;&lt;Author&gt;Carpenter&lt;/Author&gt;&lt;Year&gt;2017&lt;/Year&gt;&lt;RecNum&gt;2694&lt;/RecNum&gt;&lt;DisplayText&gt;&lt;style size="10"&gt;[49]&lt;/style&gt;&lt;/DisplayText&gt;&lt;record&gt;&lt;rec-number&gt;2694&lt;/rec-number&gt;&lt;foreign-keys&gt;&lt;key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sidR="00B54316">
        <w:rPr>
          <w:noProof/>
        </w:rPr>
        <w:t>[49]</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rsidR="00B54316">
        <w:instrText xml:space="preserve"> ADDIN EN.CITE &lt;EndNote&gt;&lt;Cite&gt;&lt;Author&gt;McElreath&lt;/Author&gt;&lt;Year&gt;2020&lt;/Year&gt;&lt;RecNum&gt;2702&lt;/RecNum&gt;&lt;DisplayText&gt;&lt;style size="10"&gt;[50]&lt;/style&gt;&lt;/DisplayText&gt;&lt;record&gt;&lt;rec-number&gt;2702&lt;/rec-number&gt;&lt;foreign-keys&gt;&lt;key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sidR="00B54316">
        <w:rPr>
          <w:noProof/>
        </w:rPr>
        <w:t>[50]</w:t>
      </w:r>
      <w:r>
        <w:fldChar w:fldCharType="end"/>
      </w:r>
      <w:r>
        <w:t xml:space="preserve">. The </w:t>
      </w:r>
      <w:r>
        <w:rPr>
          <w:i/>
          <w:iCs/>
        </w:rPr>
        <w:t xml:space="preserve">brms </w:t>
      </w:r>
      <w:r>
        <w:t>package includes a user-friendly modeling language, robust documentation, and a diverse set of tools to analyze and assess models.</w:t>
      </w:r>
    </w:p>
    <w:p w14:paraId="15D9157A" w14:textId="77777777" w:rsidR="00ED0F1E" w:rsidRDefault="00ED0F1E" w:rsidP="00ED0F1E">
      <w:pPr>
        <w:pStyle w:val="MDPI52figure"/>
        <w:ind w:left="2610" w:right="26"/>
        <w:jc w:val="left"/>
      </w:pPr>
      <w:r w:rsidRPr="00526733">
        <w:rPr>
          <w:noProof/>
        </w:rPr>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798A667A"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method based on </w:t>
      </w:r>
      <w:r w:rsidR="00ED0F1E" w:rsidRPr="00526733">
        <w:rPr>
          <w:bCs/>
        </w:rPr>
        <w:fldChar w:fldCharType="begin"/>
      </w:r>
      <w:r w:rsidR="00ED0F1E" w:rsidRPr="00526733">
        <w:rPr>
          <w:bCs/>
        </w:rP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526733">
        <w:rPr>
          <w:bCs/>
        </w:rPr>
        <w:fldChar w:fldCharType="separate"/>
      </w:r>
      <w:r w:rsidR="00ED0F1E" w:rsidRPr="00526733">
        <w:rPr>
          <w:bCs/>
        </w:rPr>
        <w:t>Makowski, et al. [19]</w:t>
      </w:r>
      <w:r w:rsidR="00ED0F1E" w:rsidRPr="00526733">
        <w:rPr>
          <w:bCs/>
        </w:rPr>
        <w:fldChar w:fldCharType="end"/>
      </w:r>
      <w:r w:rsidR="00ED0F1E" w:rsidRPr="00526733">
        <w:rPr>
          <w:bCs/>
        </w:rPr>
        <w:t>. Linear-plateau curves and critical points (i.e., the fitted join point of each linear-plateau curve) are identified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5477B307"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to parameterize the Bayesian hierarchical model as previously implemented with </w:t>
      </w:r>
      <w:r>
        <w:rPr>
          <w:i/>
          <w:iCs/>
        </w:rPr>
        <w:t>rjags</w:t>
      </w:r>
      <w:r>
        <w:t xml:space="preserve"> </w:t>
      </w:r>
      <w:r>
        <w:fldChar w:fldCharType="begin"/>
      </w:r>
      <w:r w:rsidR="00B54316">
        <w:instrText xml:space="preserve"> ADDIN EN.CITE &lt;EndNote&gt;&lt;Cite&gt;&lt;Author&gt;Plummer&lt;/Author&gt;&lt;Year&gt;2019&lt;/Year&gt;&lt;RecNum&gt;2696&lt;/RecNum&gt;&lt;DisplayText&gt;&lt;style size="10"&gt;[51]&lt;/style&gt;&lt;/DisplayText&gt;&lt;record&gt;&lt;rec-number&gt;2696&lt;/rec-number&gt;&lt;foreign-keys&gt;&lt;key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sidR="00B54316">
        <w:rPr>
          <w:noProof/>
        </w:rPr>
        <w:t>[51]</w:t>
      </w:r>
      <w:r>
        <w:fldChar w:fldCharType="end"/>
      </w:r>
      <w:r>
        <w:t xml:space="preserve"> and </w:t>
      </w:r>
      <w:r>
        <w:rPr>
          <w:i/>
          <w:iCs/>
        </w:rPr>
        <w:t>JAGS</w:t>
      </w:r>
      <w:r>
        <w:t xml:space="preserve"> statistical software </w:t>
      </w:r>
      <w:r>
        <w:fldChar w:fldCharType="begin"/>
      </w:r>
      <w:r w:rsidR="00B54316">
        <w:instrText xml:space="preserve"> ADDIN EN.CITE &lt;EndNote&gt;&lt;Cite&gt;&lt;Author&gt;Plummer&lt;/Author&gt;&lt;Year&gt;2013&lt;/Year&gt;&lt;RecNum&gt;2695&lt;/RecNum&gt;&lt;DisplayText&gt;&lt;style size="10"&gt;[52]&lt;/style&gt;&lt;/DisplayText&gt;&lt;record&gt;&lt;rec-number&gt;2695&lt;/rec-number&gt;&lt;foreign-keys&gt;&lt;key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sidR="00B54316">
        <w:rPr>
          <w:noProof/>
        </w:rPr>
        <w:t>[52]</w:t>
      </w:r>
      <w:r>
        <w:fldChar w:fldCharType="end"/>
      </w:r>
      <w:r>
        <w:t>.</w:t>
      </w:r>
    </w:p>
    <w:p w14:paraId="52798E5F" w14:textId="77777777" w:rsidR="00ED0F1E" w:rsidRDefault="00ED0F1E" w:rsidP="00ED0F1E">
      <w:pPr>
        <w:pStyle w:val="MDPI31text"/>
      </w:pPr>
      <w:r>
        <w:t xml:space="preserve">The first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2B49B4">
        <w:tc>
          <w:tcPr>
            <w:tcW w:w="7428" w:type="dxa"/>
            <w:hideMark/>
          </w:tcPr>
          <w:p w14:paraId="1C57AE00" w14:textId="77777777" w:rsidR="00ED0F1E" w:rsidRDefault="00ED0F1E" w:rsidP="002B49B4">
            <w:pPr>
              <w:pStyle w:val="MDPI39equation"/>
            </w:pPr>
            <w:r w:rsidRPr="00F7332D">
              <w:rPr>
                <w:i/>
                <w:iCs/>
              </w:rPr>
              <w:t>W</w:t>
            </w:r>
            <w:r w:rsidRPr="00D66A7B">
              <w:t xml:space="preserve"> = </w:t>
            </w:r>
            <w:r w:rsidRPr="002B48F5">
              <w:rPr>
                <w:i/>
              </w:rPr>
              <w:t>min</w:t>
            </w:r>
            <w:r w:rsidRPr="00D66A7B">
              <w:t>(</w:t>
            </w:r>
            <w:r w:rsidRPr="00F7332D">
              <w:rPr>
                <w:i/>
                <w:iCs/>
              </w:rPr>
              <w:t>W</w:t>
            </w:r>
            <w:r w:rsidRPr="00673D6A">
              <w:rPr>
                <w:i/>
                <w:iCs/>
              </w:rPr>
              <w:t>max</w:t>
            </w:r>
            <w:r w:rsidRPr="00F7332D">
              <w:rPr>
                <w:i/>
                <w:iCs/>
                <w:vertAlign w:val="subscript"/>
              </w:rPr>
              <w:t>i</w:t>
            </w:r>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%N</w:t>
            </w:r>
            <w:r w:rsidRPr="00F7332D">
              <w:rPr>
                <w:i/>
                <w:iCs/>
                <w:vertAlign w:val="subscript"/>
              </w:rPr>
              <w:t>Plant</w:t>
            </w:r>
            <w:r w:rsidRPr="00D66A7B">
              <w:t xml:space="preserve"> – </w:t>
            </w:r>
            <w:r w:rsidRPr="00F7332D">
              <w:rPr>
                <w:i/>
                <w:iCs/>
              </w:rPr>
              <w:t>%N</w:t>
            </w:r>
            <w:r w:rsidRPr="00F7332D">
              <w:rPr>
                <w:i/>
                <w:iCs/>
                <w:vertAlign w:val="subscript"/>
              </w:rPr>
              <w:t>c</w:t>
            </w:r>
            <w:r w:rsidRPr="00D66A7B">
              <w:t xml:space="preserve">), </w:t>
            </w:r>
            <w:r w:rsidRPr="00F7332D">
              <w:rPr>
                <w:i/>
                <w:iCs/>
              </w:rPr>
              <w:t>W</w:t>
            </w:r>
            <w:r w:rsidRPr="00673D6A">
              <w:rPr>
                <w:i/>
                <w:iCs/>
              </w:rPr>
              <w:t>max</w:t>
            </w:r>
            <w:r w:rsidRPr="00F7332D">
              <w:rPr>
                <w:i/>
                <w:iCs/>
                <w:vertAlign w:val="subscript"/>
              </w:rPr>
              <w:t>i</w:t>
            </w:r>
            <w:r w:rsidRPr="00D66A7B">
              <w:t>)</w:t>
            </w:r>
          </w:p>
        </w:tc>
        <w:tc>
          <w:tcPr>
            <w:tcW w:w="431" w:type="dxa"/>
            <w:vAlign w:val="center"/>
            <w:hideMark/>
          </w:tcPr>
          <w:p w14:paraId="6ABB0785" w14:textId="47C50B6B" w:rsidR="00ED0F1E" w:rsidRDefault="00ED0F1E" w:rsidP="002B49B4">
            <w:pPr>
              <w:pStyle w:val="MDPI3aequationnumber"/>
              <w:spacing w:line="260" w:lineRule="atLeast"/>
            </w:pPr>
            <w:r>
              <w:t>(</w:t>
            </w:r>
            <w:r w:rsidR="00C209AA">
              <w:t>6</w:t>
            </w:r>
            <w:r>
              <w:t>)</w:t>
            </w:r>
          </w:p>
        </w:tc>
      </w:tr>
    </w:tbl>
    <w:p w14:paraId="7146CDD1" w14:textId="2FF633D1"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r w:rsidRPr="00F7332D">
        <w:rPr>
          <w:i/>
          <w:iCs/>
        </w:rPr>
        <w:t>W</w:t>
      </w:r>
      <w:r w:rsidRPr="00673D6A">
        <w:rPr>
          <w:i/>
          <w:iCs/>
        </w:rPr>
        <w:t>max</w:t>
      </w:r>
      <w:r w:rsidRPr="00F7332D">
        <w:rPr>
          <w:i/>
          <w:iCs/>
          <w:vertAlign w:val="subscript"/>
        </w:rPr>
        <w:t>i</w:t>
      </w:r>
      <w:r>
        <w:t xml:space="preserve"> are the slope of the linear-plateau curve and the maximum value of biomass (i.e., plateau) for a given date [</w:t>
      </w:r>
      <w:r>
        <w:rPr>
          <w:i/>
          <w:iCs/>
        </w:rPr>
        <w:t>i</w:t>
      </w:r>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%N</w:t>
      </w:r>
      <w:r w:rsidRPr="00F7332D">
        <w:rPr>
          <w:i/>
          <w:iCs/>
          <w:vertAlign w:val="subscript"/>
        </w:rPr>
        <w:t>Plant</w:t>
      </w:r>
      <w:r>
        <w:rPr>
          <w:i/>
          <w:iCs/>
        </w:rPr>
        <w:t xml:space="preserve">, </w:t>
      </w:r>
      <w:r>
        <w:t xml:space="preserve">and </w:t>
      </w:r>
      <w:r w:rsidRPr="00F7332D">
        <w:rPr>
          <w:i/>
          <w:iCs/>
        </w:rPr>
        <w:t>%N</w:t>
      </w:r>
      <w:r w:rsidRPr="00F7332D">
        <w:rPr>
          <w:i/>
          <w:iCs/>
          <w:vertAlign w:val="subscript"/>
        </w:rPr>
        <w:t>c</w:t>
      </w:r>
      <w:r>
        <w:t xml:space="preserve"> have the same meaning as previously defined in this present study. This linear-plateau curve is defined with </w:t>
      </w:r>
      <w:r w:rsidR="00490F0F">
        <w:t>N</w:t>
      </w:r>
      <w:r>
        <w:t xml:space="preserve"> concentration as the independent variable and biomass as the dependent variable and is written in point-slope form where the reference point used is the critical point.</w:t>
      </w:r>
    </w:p>
    <w:p w14:paraId="4452BC4B" w14:textId="77777777" w:rsidR="00ED0F1E" w:rsidRPr="00D66A7B" w:rsidRDefault="00ED0F1E" w:rsidP="00ED0F1E">
      <w:pPr>
        <w:pStyle w:val="MDPI31text"/>
        <w:ind w:firstLine="452"/>
      </w:pPr>
      <w:r>
        <w:t xml:space="preserve">The second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2B49B4">
        <w:tc>
          <w:tcPr>
            <w:tcW w:w="7428" w:type="dxa"/>
            <w:hideMark/>
          </w:tcPr>
          <w:p w14:paraId="350E5C58" w14:textId="77777777" w:rsidR="00ED0F1E" w:rsidRDefault="00ED0F1E" w:rsidP="002B49B4">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r w:rsidRPr="00F7332D">
              <w:rPr>
                <w:i/>
                <w:iCs/>
              </w:rPr>
              <w:t>W</w:t>
            </w:r>
            <w:r w:rsidRPr="00673D6A">
              <w:rPr>
                <w:i/>
                <w:iCs/>
              </w:rPr>
              <w:t>ma</w:t>
            </w:r>
            <w:r>
              <w:rPr>
                <w:i/>
                <w:iCs/>
              </w:rPr>
              <w:t>x</w:t>
            </w:r>
            <w:r w:rsidRPr="00F7332D">
              <w:rPr>
                <w:i/>
                <w:iCs/>
                <w:vertAlign w:val="subscript"/>
              </w:rPr>
              <w:t>i</w:t>
            </w:r>
            <w:r>
              <w:t xml:space="preserve">) </w:t>
            </w:r>
            <w:r>
              <w:rPr>
                <w:vertAlign w:val="superscript"/>
              </w:rPr>
              <w:t>–</w:t>
            </w:r>
            <w:r w:rsidRPr="001F7D51">
              <w:rPr>
                <w:i/>
                <w:vertAlign w:val="superscript"/>
              </w:rPr>
              <w:t>b</w:t>
            </w:r>
          </w:p>
        </w:tc>
        <w:tc>
          <w:tcPr>
            <w:tcW w:w="431" w:type="dxa"/>
            <w:vAlign w:val="center"/>
            <w:hideMark/>
          </w:tcPr>
          <w:p w14:paraId="02F9604F" w14:textId="4A1CE039" w:rsidR="00ED0F1E" w:rsidRDefault="00ED0F1E" w:rsidP="002B49B4">
            <w:pPr>
              <w:pStyle w:val="MDPI3aequationnumber"/>
              <w:spacing w:line="260" w:lineRule="atLeast"/>
            </w:pPr>
            <w:r>
              <w:t>(</w:t>
            </w:r>
            <w:r w:rsidR="00C209AA">
              <w:t>7</w:t>
            </w:r>
            <w:r>
              <w:t>)</w:t>
            </w:r>
          </w:p>
        </w:tc>
      </w:tr>
    </w:tbl>
    <w:p w14:paraId="272C28C9" w14:textId="2FA9215F"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r w:rsidRPr="00F7332D">
        <w:rPr>
          <w:i/>
          <w:iCs/>
        </w:rPr>
        <w:t>W</w:t>
      </w:r>
      <w:r w:rsidRPr="00F7332D">
        <w:rPr>
          <w:i/>
          <w:iCs/>
          <w:vertAlign w:val="subscript"/>
        </w:rPr>
        <w:t>max,i</w:t>
      </w:r>
      <w:r>
        <w:rPr>
          <w:vertAlign w:val="subscript"/>
        </w:rPr>
        <w:t xml:space="preserve"> </w:t>
      </w:r>
      <w:r>
        <w:t>have the same meanings as defined above.</w:t>
      </w:r>
    </w:p>
    <w:p w14:paraId="64256D73" w14:textId="77777777" w:rsidR="00ED0F1E" w:rsidRDefault="00ED0F1E" w:rsidP="00ED0F1E">
      <w:pPr>
        <w:pStyle w:val="MDPI31text"/>
        <w:ind w:firstLine="452"/>
      </w:pPr>
      <w:r>
        <w:t xml:space="preserve">Using algebraic substitution (for </w:t>
      </w:r>
      <w:r w:rsidRPr="00F7332D">
        <w:rPr>
          <w:i/>
          <w:iCs/>
        </w:rPr>
        <w:t>%N</w:t>
      </w:r>
      <w:r w:rsidRPr="00F7332D">
        <w:rPr>
          <w:i/>
          <w:iCs/>
          <w:vertAlign w:val="subscript"/>
        </w:rPr>
        <w:t>c</w:t>
      </w:r>
      <w:r>
        <w:t xml:space="preserve">), these two expressions were combined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2B49B4">
        <w:tc>
          <w:tcPr>
            <w:tcW w:w="7428" w:type="dxa"/>
            <w:hideMark/>
          </w:tcPr>
          <w:p w14:paraId="0AE4CB18" w14:textId="77777777" w:rsidR="00ED0F1E" w:rsidRDefault="00ED0F1E" w:rsidP="002B49B4">
            <w:pPr>
              <w:pStyle w:val="MDPI39equation"/>
            </w:pPr>
            <w:r w:rsidRPr="00F7332D">
              <w:rPr>
                <w:i/>
                <w:iCs/>
              </w:rPr>
              <w:t>W</w:t>
            </w:r>
            <w:r w:rsidRPr="00505583">
              <w:t xml:space="preserve"> </w:t>
            </w:r>
            <w:r>
              <w:t>~</w:t>
            </w:r>
            <w:r w:rsidRPr="00505583">
              <w:t xml:space="preserve"> </w:t>
            </w:r>
            <w:r w:rsidRPr="001F7D51">
              <w:rPr>
                <w:i/>
              </w:rPr>
              <w:t>min</w:t>
            </w:r>
            <w:r w:rsidRPr="00505583">
              <w:t>(</w:t>
            </w:r>
            <w:r w:rsidRPr="00F7332D">
              <w:rPr>
                <w:i/>
                <w:iCs/>
              </w:rPr>
              <w:t>W</w:t>
            </w:r>
            <w:r w:rsidRPr="00673D6A">
              <w:rPr>
                <w:i/>
                <w:iCs/>
              </w:rPr>
              <w:t>max</w:t>
            </w:r>
            <w:r w:rsidRPr="00F7332D">
              <w:rPr>
                <w:i/>
                <w:iCs/>
                <w:vertAlign w:val="subscript"/>
              </w:rPr>
              <w:t>i</w:t>
            </w:r>
            <w:r w:rsidRPr="00505583">
              <w:t xml:space="preserve"> + </w:t>
            </w:r>
            <w:r w:rsidRPr="00F7332D">
              <w:rPr>
                <w:i/>
                <w:iCs/>
              </w:rPr>
              <w:t>S</w:t>
            </w:r>
            <w:r w:rsidRPr="00F7332D">
              <w:rPr>
                <w:i/>
                <w:iCs/>
                <w:vertAlign w:val="subscript"/>
              </w:rPr>
              <w:t>i</w:t>
            </w:r>
            <w:r w:rsidRPr="00505583">
              <w:t xml:space="preserve"> * (</w:t>
            </w:r>
            <w:r w:rsidRPr="00F7332D">
              <w:rPr>
                <w:i/>
                <w:iCs/>
              </w:rPr>
              <w:t>%N</w:t>
            </w:r>
            <w:r w:rsidRPr="00F7332D">
              <w:rPr>
                <w:i/>
                <w:iCs/>
                <w:vertAlign w:val="subscript"/>
              </w:rPr>
              <w:t>Plant</w:t>
            </w:r>
            <w:r w:rsidRPr="00505583">
              <w:t xml:space="preserve"> </w:t>
            </w:r>
            <w:r>
              <w:t>–</w:t>
            </w:r>
            <w:r w:rsidRPr="00505583">
              <w:t xml:space="preserve"> (</w:t>
            </w:r>
            <w:r>
              <w:rPr>
                <w:i/>
                <w:iCs/>
              </w:rPr>
              <w:t>a</w:t>
            </w:r>
            <w:r>
              <w:t xml:space="preserve"> </w:t>
            </w:r>
            <w:r w:rsidRPr="00505583">
              <w:t>*</w:t>
            </w:r>
            <w:r>
              <w:t xml:space="preserve"> (</w:t>
            </w:r>
            <w:r w:rsidRPr="00F7332D">
              <w:rPr>
                <w:i/>
                <w:iCs/>
              </w:rPr>
              <w:t>W</w:t>
            </w:r>
            <w:r w:rsidRPr="00673D6A">
              <w:rPr>
                <w:i/>
                <w:iCs/>
              </w:rPr>
              <w:t>max</w:t>
            </w:r>
            <w:r w:rsidRPr="00F7332D">
              <w:rPr>
                <w:i/>
                <w:iCs/>
                <w:vertAlign w:val="subscript"/>
              </w:rPr>
              <w:t>i</w:t>
            </w:r>
            <w:r>
              <w:t>)</w:t>
            </w:r>
            <w:r>
              <w:rPr>
                <w:vertAlign w:val="superscript"/>
              </w:rPr>
              <w:t xml:space="preserve"> –</w:t>
            </w:r>
            <w:r w:rsidRPr="001F7D51">
              <w:rPr>
                <w:i/>
                <w:vertAlign w:val="superscript"/>
              </w:rPr>
              <w:t>b</w:t>
            </w:r>
            <w:r w:rsidRPr="00505583">
              <w:t xml:space="preserve">)), </w:t>
            </w:r>
            <w:r w:rsidRPr="00F7332D">
              <w:rPr>
                <w:i/>
                <w:iCs/>
              </w:rPr>
              <w:t>W</w:t>
            </w:r>
            <w:r w:rsidRPr="00673D6A">
              <w:rPr>
                <w:i/>
                <w:iCs/>
              </w:rPr>
              <w:t>max</w:t>
            </w:r>
            <w:r w:rsidRPr="00F7332D">
              <w:rPr>
                <w:i/>
                <w:iCs/>
                <w:vertAlign w:val="subscript"/>
              </w:rPr>
              <w:t>i</w:t>
            </w:r>
            <w:r w:rsidRPr="00505583">
              <w:t>)</w:t>
            </w:r>
          </w:p>
        </w:tc>
        <w:tc>
          <w:tcPr>
            <w:tcW w:w="431" w:type="dxa"/>
            <w:vAlign w:val="center"/>
            <w:hideMark/>
          </w:tcPr>
          <w:p w14:paraId="065003EE" w14:textId="3812DD22" w:rsidR="00ED0F1E" w:rsidRDefault="00ED0F1E" w:rsidP="002B49B4">
            <w:pPr>
              <w:pStyle w:val="MDPI3aequationnumber"/>
              <w:spacing w:line="260" w:lineRule="atLeast"/>
            </w:pPr>
            <w:r>
              <w:t>(</w:t>
            </w:r>
            <w:r w:rsidR="00C209AA">
              <w:t>8</w:t>
            </w:r>
            <w:r>
              <w:t>)</w:t>
            </w:r>
          </w:p>
        </w:tc>
      </w:tr>
    </w:tbl>
    <w:p w14:paraId="6E9121BC" w14:textId="4FD51FAB" w:rsidR="00ED0F1E" w:rsidRPr="00A949FC" w:rsidRDefault="00ED0F1E" w:rsidP="00ED0F1E">
      <w:pPr>
        <w:pStyle w:val="MDPI31text"/>
      </w:pPr>
      <w:r>
        <w:t xml:space="preserve">Two group-level (i.e., random) effects were specified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r w:rsidRPr="00F7332D">
        <w:rPr>
          <w:i/>
          <w:iCs/>
        </w:rPr>
        <w:t>W</w:t>
      </w:r>
      <w:r w:rsidRPr="007B38B7">
        <w:rPr>
          <w:i/>
          <w:iCs/>
        </w:rPr>
        <w:t>max</w:t>
      </w:r>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2B49B4">
        <w:tc>
          <w:tcPr>
            <w:tcW w:w="7428" w:type="dxa"/>
            <w:hideMark/>
          </w:tcPr>
          <w:p w14:paraId="50C81FE8" w14:textId="77777777" w:rsidR="00ED0F1E" w:rsidRDefault="00ED0F1E" w:rsidP="002B49B4">
            <w:pPr>
              <w:pStyle w:val="MDPI39equation"/>
            </w:pPr>
            <w:r w:rsidRPr="00F7332D">
              <w:rPr>
                <w:i/>
                <w:iCs/>
              </w:rPr>
              <w:lastRenderedPageBreak/>
              <w:t>W</w:t>
            </w:r>
            <w:r w:rsidRPr="007B38B7">
              <w:rPr>
                <w:i/>
                <w:iCs/>
              </w:rPr>
              <w:t>max</w:t>
            </w:r>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311F098C" w:rsidR="00ED0F1E" w:rsidRDefault="00ED0F1E" w:rsidP="002B49B4">
            <w:pPr>
              <w:pStyle w:val="MDPI3aequationnumber"/>
              <w:spacing w:line="260" w:lineRule="atLeast"/>
            </w:pPr>
            <w:r>
              <w:t>(</w:t>
            </w:r>
            <w:r w:rsidR="00C209AA">
              <w:t>9</w:t>
            </w:r>
            <w:r>
              <w:t>)</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2B49B4">
        <w:tc>
          <w:tcPr>
            <w:tcW w:w="7428" w:type="dxa"/>
            <w:hideMark/>
          </w:tcPr>
          <w:p w14:paraId="3F51512B" w14:textId="77777777" w:rsidR="00ED0F1E" w:rsidRDefault="00ED0F1E" w:rsidP="002B49B4">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r w:rsidRPr="00F7332D">
              <w:rPr>
                <w:i/>
                <w:iCs/>
              </w:rPr>
              <w:t>location:variety</w:t>
            </w:r>
            <w:r w:rsidRPr="00A949FC">
              <w:t>)</w:t>
            </w:r>
          </w:p>
        </w:tc>
        <w:tc>
          <w:tcPr>
            <w:tcW w:w="431" w:type="dxa"/>
            <w:vAlign w:val="center"/>
            <w:hideMark/>
          </w:tcPr>
          <w:p w14:paraId="2DA3C3DA" w14:textId="756EBCA4" w:rsidR="00ED0F1E" w:rsidRDefault="00ED0F1E" w:rsidP="002B49B4">
            <w:pPr>
              <w:pStyle w:val="MDPI3aequationnumber"/>
              <w:spacing w:line="260" w:lineRule="atLeast"/>
            </w:pPr>
            <w:r>
              <w:t>(</w:t>
            </w:r>
            <w:r w:rsidR="00C209AA">
              <w:t>10</w:t>
            </w:r>
            <w:r>
              <w:t>)</w:t>
            </w:r>
          </w:p>
        </w:tc>
      </w:tr>
    </w:tbl>
    <w:p w14:paraId="72685EE6" w14:textId="16FC94E7" w:rsidR="00ED0F1E" w:rsidRDefault="00ED0F1E" w:rsidP="00ED0F1E">
      <w:pPr>
        <w:pStyle w:val="MDPI31text"/>
        <w:ind w:firstLine="2"/>
      </w:pPr>
      <w:r>
        <w:t xml:space="preserve">where </w:t>
      </w:r>
      <w:r>
        <w:rPr>
          <w:i/>
          <w:iCs/>
        </w:rPr>
        <w:t>location</w:t>
      </w:r>
      <w:r>
        <w:t xml:space="preserve"> and </w:t>
      </w:r>
      <w:r>
        <w:rPr>
          <w:i/>
          <w:iCs/>
        </w:rPr>
        <w:t>location:variety</w:t>
      </w:r>
      <w:r>
        <w:t xml:space="preserve"> represents the unique </w:t>
      </w:r>
      <w:r w:rsidR="00541460">
        <w:t xml:space="preserve">effect </w:t>
      </w:r>
      <w:r>
        <w:t>level for location and variety within location, respectively.</w:t>
      </w:r>
    </w:p>
    <w:p w14:paraId="290DA4CD" w14:textId="7C165D81" w:rsidR="00ED0F1E" w:rsidRDefault="00ED0F1E" w:rsidP="00ED0F1E">
      <w:pPr>
        <w:pStyle w:val="MDPI31text"/>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rsidR="00B54316">
        <w:instrText xml:space="preserve"> ADDIN EN.CITE &lt;EndNote&gt;&lt;Cite&gt;&lt;Author&gt;Schad&lt;/Author&gt;&lt;Year&gt;2021&lt;/Year&gt;&lt;RecNum&gt;2703&lt;/RecNum&gt;&lt;DisplayText&gt;&lt;style size="10"&gt;[53]&lt;/style&gt;&lt;/DisplayText&gt;&lt;record&gt;&lt;rec-number&gt;2703&lt;/rec-number&gt;&lt;foreign-keys&gt;&lt;key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sidR="00B54316">
        <w:rPr>
          <w:noProof/>
        </w:rPr>
        <w:t>[53]</w:t>
      </w:r>
      <w:r>
        <w:fldChar w:fldCharType="end"/>
      </w:r>
      <w:r>
        <w:t>. This is particularly important for hyperparameters dealing with the standard deviation between groups in a hierarchical model. A summary of the prior values used in this model is given below (</w:t>
      </w:r>
      <w:r w:rsidR="008C613D">
        <w:t>Table 6</w:t>
      </w:r>
      <w:r>
        <w:t>).</w:t>
      </w:r>
    </w:p>
    <w:p w14:paraId="0B782112" w14:textId="6A3643F4" w:rsidR="00ED0F1E" w:rsidRDefault="00ED0F1E" w:rsidP="00ED0F1E">
      <w:pPr>
        <w:pStyle w:val="MDPI31text"/>
      </w:pPr>
      <w:r>
        <w:t>The entire workflow used to generate this analysis is reproducible and available via  GitHub repository (</w:t>
      </w:r>
      <w:hyperlink r:id="rId22" w:history="1">
        <w:r w:rsidRPr="00157594">
          <w:rPr>
            <w:rStyle w:val="Hyperlink"/>
          </w:rPr>
          <w:t>https://github.com/bohm0072/cndc_bayesian_eval</w:t>
        </w:r>
      </w:hyperlink>
      <w:r>
        <w:t xml:space="preserve">). The </w:t>
      </w:r>
      <w:r>
        <w:rPr>
          <w:i/>
          <w:iCs/>
        </w:rPr>
        <w:t>renv</w:t>
      </w:r>
      <w:r>
        <w:t xml:space="preserve"> package </w:t>
      </w:r>
      <w:r>
        <w:fldChar w:fldCharType="begin"/>
      </w:r>
      <w:r w:rsidR="00B54316">
        <w:instrText xml:space="preserve"> ADDIN EN.CITE &lt;EndNote&gt;&lt;Cite&gt;&lt;Author&gt;Ushey&lt;/Author&gt;&lt;Year&gt;2021&lt;/Year&gt;&lt;RecNum&gt;2704&lt;/RecNum&gt;&lt;DisplayText&gt;&lt;style size="10"&gt;[54]&lt;/style&gt;&lt;/DisplayText&gt;&lt;record&gt;&lt;rec-number&gt;2704&lt;/rec-number&gt;&lt;foreign-keys&gt;&lt;key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sidR="00B54316">
        <w:rPr>
          <w:noProof/>
        </w:rPr>
        <w:t>[54]</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2B49B4">
        <w:tc>
          <w:tcPr>
            <w:tcW w:w="2160" w:type="dxa"/>
            <w:vMerge w:val="restart"/>
            <w:tcBorders>
              <w:top w:val="single" w:sz="8" w:space="0" w:color="auto"/>
              <w:left w:val="nil"/>
              <w:right w:val="nil"/>
            </w:tcBorders>
            <w:vAlign w:val="center"/>
          </w:tcPr>
          <w:p w14:paraId="09E2BD58" w14:textId="77777777" w:rsidR="00ED0F1E" w:rsidRDefault="00ED0F1E" w:rsidP="002B49B4">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2B49B4">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2B49B4">
            <w:pPr>
              <w:pStyle w:val="MDPI42tablebody"/>
              <w:spacing w:line="240" w:lineRule="auto"/>
              <w:rPr>
                <w:b/>
              </w:rPr>
            </w:pPr>
            <w:r>
              <w:rPr>
                <w:b/>
              </w:rPr>
              <w:t>Bounds</w:t>
            </w:r>
          </w:p>
        </w:tc>
      </w:tr>
      <w:tr w:rsidR="00ED0F1E" w14:paraId="54BE9B38" w14:textId="77777777" w:rsidTr="002B49B4">
        <w:tc>
          <w:tcPr>
            <w:tcW w:w="2160" w:type="dxa"/>
            <w:vMerge/>
            <w:tcBorders>
              <w:left w:val="nil"/>
              <w:bottom w:val="single" w:sz="4" w:space="0" w:color="auto"/>
              <w:right w:val="nil"/>
            </w:tcBorders>
            <w:vAlign w:val="center"/>
            <w:hideMark/>
          </w:tcPr>
          <w:p w14:paraId="69933B3E" w14:textId="77777777" w:rsidR="00ED0F1E" w:rsidRDefault="00ED0F1E" w:rsidP="002B49B4">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2B49B4">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2B49B4">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2B49B4">
            <w:pPr>
              <w:pStyle w:val="MDPI42tablebody"/>
              <w:spacing w:line="240" w:lineRule="auto"/>
              <w:rPr>
                <w:b/>
              </w:rPr>
            </w:pPr>
            <w:r>
              <w:rPr>
                <w:b/>
              </w:rPr>
              <w:t>Upper</w:t>
            </w:r>
          </w:p>
        </w:tc>
      </w:tr>
      <w:tr w:rsidR="00ED0F1E" w14:paraId="02663F2B" w14:textId="77777777" w:rsidTr="002B49B4">
        <w:tc>
          <w:tcPr>
            <w:tcW w:w="2160" w:type="dxa"/>
            <w:tcBorders>
              <w:top w:val="nil"/>
              <w:left w:val="nil"/>
              <w:bottom w:val="nil"/>
              <w:right w:val="nil"/>
            </w:tcBorders>
            <w:vAlign w:val="center"/>
            <w:hideMark/>
          </w:tcPr>
          <w:p w14:paraId="2F5590B5" w14:textId="4AFE696D" w:rsidR="00ED0F1E" w:rsidRPr="007F0FA4" w:rsidRDefault="00A22EA9" w:rsidP="002B49B4">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2B49B4">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2B49B4">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2B49B4">
            <w:pPr>
              <w:pStyle w:val="MDPI42tablebody"/>
              <w:spacing w:line="240" w:lineRule="auto"/>
            </w:pPr>
            <w:r>
              <w:t>∞</w:t>
            </w:r>
          </w:p>
        </w:tc>
      </w:tr>
      <w:tr w:rsidR="00ED0F1E" w14:paraId="7681656F" w14:textId="77777777" w:rsidTr="002B49B4">
        <w:tc>
          <w:tcPr>
            <w:tcW w:w="2160" w:type="dxa"/>
            <w:tcBorders>
              <w:top w:val="nil"/>
              <w:left w:val="nil"/>
              <w:bottom w:val="nil"/>
              <w:right w:val="nil"/>
            </w:tcBorders>
            <w:vAlign w:val="center"/>
          </w:tcPr>
          <w:p w14:paraId="2791F88D"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(a</w:t>
            </w:r>
            <w:r w:rsidRPr="002A508A">
              <w:rPr>
                <w:i/>
                <w:iCs/>
                <w:vertAlign w:val="subscript"/>
              </w:rPr>
              <w:t>location</w:t>
            </w:r>
            <w:r>
              <w:rPr>
                <w:i/>
                <w:iCs/>
              </w:rPr>
              <w:t>)</w:t>
            </w:r>
          </w:p>
        </w:tc>
        <w:tc>
          <w:tcPr>
            <w:tcW w:w="3456" w:type="dxa"/>
            <w:tcBorders>
              <w:top w:val="nil"/>
              <w:left w:val="nil"/>
              <w:bottom w:val="nil"/>
              <w:right w:val="nil"/>
            </w:tcBorders>
          </w:tcPr>
          <w:p w14:paraId="25F90398" w14:textId="77777777" w:rsidR="00ED0F1E" w:rsidRPr="000E7A9C" w:rsidRDefault="00ED0F1E" w:rsidP="002B49B4">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2B49B4">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2B49B4">
            <w:pPr>
              <w:pStyle w:val="MDPI42tablebody"/>
              <w:spacing w:line="240" w:lineRule="auto"/>
            </w:pPr>
            <w:r>
              <w:t>∞</w:t>
            </w:r>
          </w:p>
        </w:tc>
      </w:tr>
      <w:tr w:rsidR="00ED0F1E" w14:paraId="444B7261" w14:textId="77777777" w:rsidTr="002B49B4">
        <w:tc>
          <w:tcPr>
            <w:tcW w:w="2160" w:type="dxa"/>
            <w:tcBorders>
              <w:top w:val="nil"/>
              <w:left w:val="nil"/>
              <w:bottom w:val="dotted" w:sz="4" w:space="0" w:color="auto"/>
              <w:right w:val="nil"/>
            </w:tcBorders>
            <w:vAlign w:val="center"/>
          </w:tcPr>
          <w:p w14:paraId="5D1D5360"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(a</w:t>
            </w:r>
            <w:r w:rsidRPr="002A508A">
              <w:rPr>
                <w:i/>
                <w:iCs/>
                <w:vertAlign w:val="subscript"/>
              </w:rPr>
              <w:t>location</w:t>
            </w:r>
            <w:r>
              <w:rPr>
                <w:i/>
                <w:iCs/>
                <w:vertAlign w:val="subscript"/>
              </w:rPr>
              <w:t>:variety</w:t>
            </w:r>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2B49B4">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2B49B4">
            <w:pPr>
              <w:pStyle w:val="MDPI42tablebody"/>
              <w:spacing w:line="240" w:lineRule="auto"/>
            </w:pPr>
            <w:r>
              <w:t>∞</w:t>
            </w:r>
          </w:p>
        </w:tc>
      </w:tr>
      <w:tr w:rsidR="00ED0F1E" w14:paraId="2ABA9271" w14:textId="77777777" w:rsidTr="002B49B4">
        <w:tc>
          <w:tcPr>
            <w:tcW w:w="2160" w:type="dxa"/>
            <w:tcBorders>
              <w:top w:val="dotted" w:sz="4" w:space="0" w:color="auto"/>
              <w:left w:val="nil"/>
              <w:bottom w:val="nil"/>
              <w:right w:val="nil"/>
            </w:tcBorders>
            <w:vAlign w:val="center"/>
          </w:tcPr>
          <w:p w14:paraId="1D6FBE8B" w14:textId="77777777" w:rsidR="00ED0F1E" w:rsidRPr="002A508A" w:rsidRDefault="00ED0F1E" w:rsidP="002B49B4">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2B49B4">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2B49B4">
            <w:pPr>
              <w:pStyle w:val="MDPI42tablebody"/>
              <w:spacing w:line="240" w:lineRule="auto"/>
            </w:pPr>
            <w:r>
              <w:t>1</w:t>
            </w:r>
          </w:p>
        </w:tc>
      </w:tr>
      <w:tr w:rsidR="00ED0F1E" w14:paraId="55C46336" w14:textId="77777777" w:rsidTr="002B49B4">
        <w:tc>
          <w:tcPr>
            <w:tcW w:w="2160" w:type="dxa"/>
            <w:tcBorders>
              <w:top w:val="nil"/>
              <w:left w:val="nil"/>
              <w:bottom w:val="nil"/>
              <w:right w:val="nil"/>
            </w:tcBorders>
            <w:vAlign w:val="center"/>
          </w:tcPr>
          <w:p w14:paraId="5290CCAC" w14:textId="77777777" w:rsidR="00ED0F1E" w:rsidRPr="007B38B7" w:rsidRDefault="00ED0F1E" w:rsidP="002B49B4">
            <w:pPr>
              <w:pStyle w:val="MDPI42tablebody"/>
              <w:spacing w:line="240" w:lineRule="auto"/>
              <w:jc w:val="left"/>
              <w:rPr>
                <w:i/>
                <w:iCs/>
              </w:rPr>
            </w:pPr>
            <w:r w:rsidRPr="002A508A">
              <w:rPr>
                <w:i/>
                <w:iCs/>
              </w:rPr>
              <w:t>σ</w:t>
            </w:r>
            <w:r>
              <w:rPr>
                <w:i/>
                <w:iCs/>
              </w:rPr>
              <w:t>(b</w:t>
            </w:r>
            <w:r w:rsidRPr="002A508A">
              <w:rPr>
                <w:i/>
                <w:iCs/>
                <w:vertAlign w:val="subscript"/>
              </w:rPr>
              <w:t>location</w:t>
            </w:r>
            <w:r>
              <w:rPr>
                <w:i/>
                <w:iCs/>
              </w:rPr>
              <w:t>)</w:t>
            </w:r>
          </w:p>
        </w:tc>
        <w:tc>
          <w:tcPr>
            <w:tcW w:w="3456" w:type="dxa"/>
            <w:tcBorders>
              <w:top w:val="nil"/>
              <w:left w:val="nil"/>
              <w:bottom w:val="nil"/>
              <w:right w:val="nil"/>
            </w:tcBorders>
          </w:tcPr>
          <w:p w14:paraId="1808B13D" w14:textId="77777777" w:rsidR="00ED0F1E" w:rsidRPr="000E7A9C" w:rsidRDefault="00ED0F1E" w:rsidP="002B49B4">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2B49B4">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2B49B4">
            <w:pPr>
              <w:pStyle w:val="MDPI42tablebody"/>
              <w:spacing w:line="240" w:lineRule="auto"/>
            </w:pPr>
            <w:r>
              <w:t>∞</w:t>
            </w:r>
          </w:p>
        </w:tc>
      </w:tr>
      <w:tr w:rsidR="00ED0F1E" w14:paraId="5A95628B" w14:textId="77777777" w:rsidTr="002B49B4">
        <w:tc>
          <w:tcPr>
            <w:tcW w:w="2160" w:type="dxa"/>
            <w:tcBorders>
              <w:top w:val="nil"/>
              <w:left w:val="nil"/>
              <w:bottom w:val="dotted" w:sz="4" w:space="0" w:color="auto"/>
              <w:right w:val="nil"/>
            </w:tcBorders>
            <w:vAlign w:val="center"/>
          </w:tcPr>
          <w:p w14:paraId="6A1EF0D9" w14:textId="77777777" w:rsidR="00ED0F1E" w:rsidRPr="007B38B7" w:rsidRDefault="00ED0F1E" w:rsidP="002B49B4">
            <w:pPr>
              <w:pStyle w:val="MDPI42tablebody"/>
              <w:spacing w:line="240" w:lineRule="auto"/>
              <w:jc w:val="left"/>
              <w:rPr>
                <w:i/>
                <w:iCs/>
              </w:rPr>
            </w:pPr>
            <w:r w:rsidRPr="002A508A">
              <w:rPr>
                <w:i/>
                <w:iCs/>
              </w:rPr>
              <w:t>σ</w:t>
            </w:r>
            <w:r>
              <w:rPr>
                <w:i/>
                <w:iCs/>
              </w:rPr>
              <w:t>(b</w:t>
            </w:r>
            <w:r w:rsidRPr="002A508A">
              <w:rPr>
                <w:i/>
                <w:iCs/>
                <w:vertAlign w:val="subscript"/>
              </w:rPr>
              <w:t>location</w:t>
            </w:r>
            <w:r>
              <w:rPr>
                <w:i/>
                <w:iCs/>
                <w:vertAlign w:val="subscript"/>
              </w:rPr>
              <w:t>:variety</w:t>
            </w:r>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2B49B4">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2B49B4">
            <w:pPr>
              <w:pStyle w:val="MDPI42tablebody"/>
              <w:spacing w:line="240" w:lineRule="auto"/>
            </w:pPr>
            <w:r>
              <w:t>∞</w:t>
            </w:r>
          </w:p>
        </w:tc>
      </w:tr>
      <w:tr w:rsidR="00ED0F1E" w14:paraId="6B2BC30C" w14:textId="77777777" w:rsidTr="002B49B4">
        <w:tc>
          <w:tcPr>
            <w:tcW w:w="2160" w:type="dxa"/>
            <w:tcBorders>
              <w:top w:val="dotted" w:sz="4" w:space="0" w:color="auto"/>
              <w:left w:val="nil"/>
              <w:bottom w:val="nil"/>
              <w:right w:val="nil"/>
            </w:tcBorders>
            <w:vAlign w:val="center"/>
          </w:tcPr>
          <w:p w14:paraId="2FF25AD8" w14:textId="77777777" w:rsidR="00ED0F1E" w:rsidRPr="002A508A" w:rsidRDefault="00ED0F1E" w:rsidP="002B49B4">
            <w:pPr>
              <w:pStyle w:val="MDPI42tablebody"/>
              <w:spacing w:line="240" w:lineRule="auto"/>
              <w:jc w:val="left"/>
              <w:rPr>
                <w:i/>
                <w:iCs/>
              </w:rPr>
            </w:pPr>
            <w:r>
              <w:rPr>
                <w:i/>
                <w:iCs/>
              </w:rPr>
              <w:t>W</w:t>
            </w:r>
            <w:r w:rsidRPr="007B38B7">
              <w:rPr>
                <w:i/>
                <w:iCs/>
              </w:rPr>
              <w:t>max</w:t>
            </w:r>
          </w:p>
        </w:tc>
        <w:tc>
          <w:tcPr>
            <w:tcW w:w="3456" w:type="dxa"/>
            <w:tcBorders>
              <w:top w:val="dotted" w:sz="4" w:space="0" w:color="auto"/>
              <w:left w:val="nil"/>
              <w:bottom w:val="nil"/>
              <w:right w:val="nil"/>
            </w:tcBorders>
          </w:tcPr>
          <w:p w14:paraId="7F93DCF8" w14:textId="77777777" w:rsidR="00ED0F1E" w:rsidRPr="000E7A9C" w:rsidRDefault="00ED0F1E" w:rsidP="002B49B4">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2B49B4">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2B49B4">
            <w:pPr>
              <w:pStyle w:val="MDPI42tablebody"/>
              <w:spacing w:line="240" w:lineRule="auto"/>
            </w:pPr>
            <w:r>
              <w:t>∞</w:t>
            </w:r>
          </w:p>
        </w:tc>
      </w:tr>
      <w:tr w:rsidR="00ED0F1E" w14:paraId="10EF504D" w14:textId="77777777" w:rsidTr="002B49B4">
        <w:tc>
          <w:tcPr>
            <w:tcW w:w="2160" w:type="dxa"/>
            <w:tcBorders>
              <w:top w:val="nil"/>
              <w:left w:val="nil"/>
              <w:bottom w:val="dotted" w:sz="4" w:space="0" w:color="auto"/>
              <w:right w:val="nil"/>
            </w:tcBorders>
            <w:vAlign w:val="center"/>
          </w:tcPr>
          <w:p w14:paraId="08E6A284" w14:textId="77777777" w:rsidR="00ED0F1E" w:rsidRPr="007B38B7" w:rsidRDefault="00ED0F1E" w:rsidP="002B49B4">
            <w:pPr>
              <w:pStyle w:val="MDPI42tablebody"/>
              <w:spacing w:line="240" w:lineRule="auto"/>
              <w:jc w:val="left"/>
              <w:rPr>
                <w:i/>
                <w:iCs/>
              </w:rPr>
            </w:pPr>
            <w:r w:rsidRPr="002A508A">
              <w:rPr>
                <w:i/>
                <w:iCs/>
              </w:rPr>
              <w:t>σ</w:t>
            </w:r>
            <w:r>
              <w:rPr>
                <w:i/>
                <w:iCs/>
              </w:rPr>
              <w:t>(Wmax</w:t>
            </w:r>
            <w:r>
              <w:rPr>
                <w:i/>
                <w:iCs/>
                <w:vertAlign w:val="subscript"/>
              </w:rPr>
              <w:t>index</w:t>
            </w:r>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2B49B4">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2B49B4">
            <w:pPr>
              <w:pStyle w:val="MDPI42tablebody"/>
              <w:spacing w:line="240" w:lineRule="auto"/>
            </w:pPr>
            <w:r>
              <w:t>∞</w:t>
            </w:r>
          </w:p>
        </w:tc>
      </w:tr>
      <w:tr w:rsidR="00ED0F1E" w14:paraId="51E59774" w14:textId="77777777" w:rsidTr="002B49B4">
        <w:tc>
          <w:tcPr>
            <w:tcW w:w="2160" w:type="dxa"/>
            <w:tcBorders>
              <w:top w:val="dotted" w:sz="4" w:space="0" w:color="auto"/>
              <w:left w:val="nil"/>
              <w:bottom w:val="nil"/>
              <w:right w:val="nil"/>
            </w:tcBorders>
            <w:vAlign w:val="center"/>
          </w:tcPr>
          <w:p w14:paraId="47E85000" w14:textId="77777777" w:rsidR="00ED0F1E" w:rsidRPr="002A508A" w:rsidRDefault="00ED0F1E" w:rsidP="002B49B4">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2B49B4">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2B49B4">
            <w:pPr>
              <w:pStyle w:val="MDPI42tablebody"/>
              <w:spacing w:line="240" w:lineRule="auto"/>
            </w:pPr>
            <w:r>
              <w:t>∞</w:t>
            </w:r>
          </w:p>
        </w:tc>
      </w:tr>
      <w:tr w:rsidR="00ED0F1E" w14:paraId="6F01B697" w14:textId="77777777" w:rsidTr="002B49B4">
        <w:tc>
          <w:tcPr>
            <w:tcW w:w="2160" w:type="dxa"/>
            <w:tcBorders>
              <w:top w:val="nil"/>
              <w:left w:val="nil"/>
              <w:bottom w:val="dotted" w:sz="4" w:space="0" w:color="auto"/>
              <w:right w:val="nil"/>
            </w:tcBorders>
            <w:vAlign w:val="center"/>
          </w:tcPr>
          <w:p w14:paraId="6FF02570" w14:textId="77777777" w:rsidR="00ED0F1E" w:rsidRPr="00E57E3C" w:rsidRDefault="00ED0F1E" w:rsidP="002B49B4">
            <w:pPr>
              <w:pStyle w:val="MDPI42tablebody"/>
              <w:spacing w:line="240" w:lineRule="auto"/>
              <w:jc w:val="left"/>
              <w:rPr>
                <w:i/>
                <w:iCs/>
              </w:rPr>
            </w:pPr>
            <w:r w:rsidRPr="002A508A">
              <w:rPr>
                <w:i/>
                <w:iCs/>
              </w:rPr>
              <w:t>σ</w:t>
            </w:r>
            <w:r>
              <w:rPr>
                <w:i/>
                <w:iCs/>
              </w:rPr>
              <w:t>(</w:t>
            </w:r>
            <w:r w:rsidRPr="00E57E3C">
              <w:rPr>
                <w:i/>
                <w:iCs/>
              </w:rPr>
              <w:t>S</w:t>
            </w:r>
            <w:r>
              <w:rPr>
                <w:i/>
                <w:iCs/>
                <w:vertAlign w:val="subscript"/>
              </w:rPr>
              <w:t>index</w:t>
            </w:r>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2B49B4">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2B49B4">
            <w:pPr>
              <w:pStyle w:val="MDPI42tablebody"/>
              <w:spacing w:line="240" w:lineRule="auto"/>
            </w:pPr>
            <w:r>
              <w:t>∞</w:t>
            </w:r>
          </w:p>
        </w:tc>
      </w:tr>
      <w:tr w:rsidR="00ED0F1E" w14:paraId="522D7A45" w14:textId="77777777" w:rsidTr="002B49B4">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2B49B4">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2B49B4">
            <w:pPr>
              <w:pStyle w:val="MDPI42tablebody"/>
              <w:spacing w:line="240" w:lineRule="auto"/>
              <w:jc w:val="left"/>
            </w:pPr>
            <w:r>
              <w:t>S</w:t>
            </w:r>
            <w:r w:rsidRPr="000E7A9C">
              <w:t>tudent_</w:t>
            </w:r>
            <w:r>
              <w:t xml:space="preserve">T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2B49B4">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2B49B4">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t>4</w:t>
      </w:r>
      <w:r w:rsidR="00ED0F1E" w:rsidRPr="007B5033">
        <w:t>.3.1. Critical N Dilution Curve Parameter Uncertainty</w:t>
      </w:r>
    </w:p>
    <w:p w14:paraId="4D049A51" w14:textId="5C5C3E40" w:rsidR="00ED0F1E" w:rsidRDefault="00ED0F1E" w:rsidP="00ED0F1E">
      <w:pPr>
        <w:pStyle w:val="MDPI31text"/>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w:t>
      </w:r>
      <w:r w:rsidR="00541460">
        <w:t xml:space="preserve">effect </w:t>
      </w:r>
      <w:r>
        <w:t xml:space="preserve">levels of </w:t>
      </w:r>
      <w:r w:rsidRPr="00541460">
        <w:rPr>
          <w:i/>
          <w:iCs/>
        </w:rPr>
        <w:t>location</w:t>
      </w:r>
      <w:r>
        <w:t xml:space="preserve"> and </w:t>
      </w:r>
      <w:r w:rsidRPr="00541460">
        <w:rPr>
          <w:i/>
          <w:iCs/>
        </w:rPr>
        <w:t>location</w:t>
      </w:r>
      <w:r w:rsidR="00541460" w:rsidRPr="00541460">
        <w:rPr>
          <w:i/>
          <w:iCs/>
        </w:rPr>
        <w:t>:variety</w:t>
      </w:r>
      <w:r>
        <w:t xml:space="preserve"> to determine the 90% credible region. The correlation between values for parameters </w:t>
      </w:r>
      <w:r>
        <w:rPr>
          <w:i/>
          <w:iCs/>
        </w:rPr>
        <w:t>a</w:t>
      </w:r>
      <w:r>
        <w:t xml:space="preserve"> and </w:t>
      </w:r>
      <w:r>
        <w:rPr>
          <w:i/>
          <w:iCs/>
        </w:rPr>
        <w:t>b</w:t>
      </w:r>
      <w:r>
        <w:t xml:space="preserve"> was determined for each </w:t>
      </w:r>
      <w:r w:rsidR="00541460">
        <w:t xml:space="preserve">effect </w:t>
      </w:r>
      <w:r>
        <w:t xml:space="preserve">level of </w:t>
      </w:r>
      <w:r w:rsidR="00541460" w:rsidRPr="00541460">
        <w:rPr>
          <w:i/>
          <w:iCs/>
        </w:rPr>
        <w:t>location:variety</w:t>
      </w:r>
      <w:r>
        <w:t xml:space="preserve"> using the fitted parameter values for 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5EAEE9CB"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w:t>
      </w:r>
      <w:r w:rsidR="00CF6199">
        <w:t xml:space="preserve">effect </w:t>
      </w:r>
      <w:r>
        <w:t xml:space="preserve">level of </w:t>
      </w:r>
      <w:r w:rsidR="00CF6199">
        <w:rPr>
          <w:i/>
          <w:iCs/>
        </w:rPr>
        <w:t>location:variety</w:t>
      </w:r>
      <w:r>
        <w:t xml:space="preserve"> to determine the 90% credible region. This approach makes maximal use of the jointly estimated parameters contained in the posterior distribution.</w:t>
      </w:r>
    </w:p>
    <w:p w14:paraId="1F7F0E21" w14:textId="320044C4" w:rsidR="00ED0F1E" w:rsidRPr="004649AF" w:rsidRDefault="00ED0F1E" w:rsidP="00ED0F1E">
      <w:pPr>
        <w:pStyle w:val="MDPI31text"/>
      </w:pPr>
      <w:r>
        <w:lastRenderedPageBreak/>
        <w:t>To approximate curves defining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r>
        <w:rPr>
          <w:i/>
          <w:iCs/>
        </w:rPr>
        <w:t>nls</w:t>
      </w:r>
      <w:r>
        <w:t xml:space="preserve"> </w:t>
      </w:r>
      <w:r>
        <w:fldChar w:fldCharType="begin"/>
      </w:r>
      <w:r w:rsidR="00B54316">
        <w:instrText xml:space="preserve"> ADDIN EN.CITE &lt;EndNote&gt;&lt;Cite&gt;&lt;Author&gt;R Core Team&lt;/Author&gt;&lt;Year&gt;2021&lt;/Year&gt;&lt;RecNum&gt;2037&lt;/RecNum&gt;&lt;DisplayText&gt;&lt;style size="10"&gt;[55]&lt;/style&gt;&lt;/DisplayText&gt;&lt;record&gt;&lt;rec-number&gt;2037&lt;/rec-number&gt;&lt;foreign-keys&gt;&lt;key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sidR="00B54316">
        <w:rPr>
          <w:noProof/>
        </w:rPr>
        <w:t>[55]</w:t>
      </w:r>
      <w:r>
        <w:fldChar w:fldCharType="end"/>
      </w:r>
      <w:r>
        <w:t xml:space="preserve"> to the set of data previously identified as defining the boundaries of the 90% credible region (i.e., 0.05 and 0.95 quantile values). These curves approximating the upper and lower boundaries of the credible region are respectively referred to as CNDC</w:t>
      </w:r>
      <w:r>
        <w:rPr>
          <w:vertAlign w:val="subscript"/>
        </w:rPr>
        <w:t>up</w:t>
      </w:r>
      <w:r>
        <w:t xml:space="preserve"> and CNDC</w:t>
      </w:r>
      <w:r>
        <w:rPr>
          <w:vertAlign w:val="subscript"/>
        </w:rPr>
        <w:t>lo</w:t>
      </w:r>
      <w:r>
        <w:t xml:space="preserve">, where parameters </w:t>
      </w:r>
      <w:r w:rsidRPr="004649AF">
        <w:rPr>
          <w:i/>
          <w:iCs/>
        </w:rPr>
        <w:t>a</w:t>
      </w:r>
      <w:r>
        <w:rPr>
          <w:i/>
          <w:iCs/>
          <w:vertAlign w:val="subscript"/>
        </w:rPr>
        <w:t>up</w:t>
      </w:r>
      <w:r>
        <w:t xml:space="preserve"> and </w:t>
      </w:r>
      <w:r w:rsidRPr="004649AF">
        <w:rPr>
          <w:i/>
          <w:iCs/>
        </w:rPr>
        <w:t>b</w:t>
      </w:r>
      <w:r>
        <w:rPr>
          <w:i/>
          <w:iCs/>
          <w:vertAlign w:val="subscript"/>
        </w:rPr>
        <w:t>up</w:t>
      </w:r>
      <w:r>
        <w:t xml:space="preserve"> correspond to CNDC</w:t>
      </w:r>
      <w:r>
        <w:rPr>
          <w:vertAlign w:val="subscript"/>
        </w:rPr>
        <w:t>up</w:t>
      </w:r>
      <w:r w:rsidRPr="004649AF">
        <w:rPr>
          <w:i/>
          <w:iCs/>
        </w:rPr>
        <w:t xml:space="preserve"> </w:t>
      </w:r>
      <w:r>
        <w:t>and parameters</w:t>
      </w:r>
      <w:r>
        <w:rPr>
          <w:i/>
          <w:iCs/>
        </w:rPr>
        <w:t xml:space="preserve"> </w:t>
      </w:r>
      <w:r w:rsidRPr="004649AF">
        <w:rPr>
          <w:i/>
          <w:iCs/>
        </w:rPr>
        <w:t>a</w:t>
      </w:r>
      <w:r w:rsidRPr="004649AF">
        <w:rPr>
          <w:i/>
          <w:iCs/>
          <w:vertAlign w:val="subscript"/>
        </w:rPr>
        <w:t>lo</w:t>
      </w:r>
      <w:r>
        <w:t xml:space="preserve"> and </w:t>
      </w:r>
      <w:r w:rsidRPr="004649AF">
        <w:rPr>
          <w:i/>
          <w:iCs/>
        </w:rPr>
        <w:t>b</w:t>
      </w:r>
      <w:r w:rsidRPr="004649AF">
        <w:rPr>
          <w:i/>
          <w:iCs/>
          <w:vertAlign w:val="subscript"/>
        </w:rPr>
        <w:t>lo</w:t>
      </w:r>
      <w:r>
        <w:t xml:space="preserve"> correspond to CNDC</w:t>
      </w:r>
      <w:r>
        <w:rPr>
          <w:vertAlign w:val="subscript"/>
        </w:rPr>
        <w:t>lo</w:t>
      </w:r>
      <w:r>
        <w:t>.</w:t>
      </w:r>
    </w:p>
    <w:p w14:paraId="684DC175" w14:textId="4E0FE192" w:rsidR="00ED0F1E" w:rsidRDefault="00ED0F1E" w:rsidP="00ED0F1E">
      <w:pPr>
        <w:pStyle w:val="MDPI31text"/>
      </w:pPr>
      <w:r>
        <w:t xml:space="preserve">Additionally, an estimate of the 90% credible region was calculated by using the boundary values of the 90% credible interval of parameters </w:t>
      </w:r>
      <w:r>
        <w:rPr>
          <w:i/>
          <w:iCs/>
        </w:rPr>
        <w:t>a</w:t>
      </w:r>
      <w:r>
        <w:t xml:space="preserve"> and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r>
        <w:rPr>
          <w:i/>
          <w:iCs/>
        </w:rPr>
        <w:t>a</w:t>
      </w:r>
      <w:r>
        <w:t xml:space="preserve"> and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r>
        <w:rPr>
          <w:i/>
          <w:iCs/>
        </w:rPr>
        <w:t>a</w:t>
      </w:r>
      <w:r>
        <w:t xml:space="preserve"> and the 0.05 quantile value for parameter </w:t>
      </w:r>
      <w:r>
        <w:rPr>
          <w:i/>
          <w:iCs/>
        </w:rPr>
        <w:t>b</w:t>
      </w:r>
      <w:r>
        <w:t xml:space="preserve"> might not actually occur in the posterior distribution.</w:t>
      </w:r>
    </w:p>
    <w:p w14:paraId="0A038B8F" w14:textId="2846977D"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 xml:space="preserve">Concentration </w:t>
      </w:r>
      <w:r w:rsidR="00ED0F1E">
        <w:t>across Genotype x Environment Effects</w:t>
      </w:r>
    </w:p>
    <w:p w14:paraId="450DAF8F" w14:textId="29EE5D48" w:rsidR="00ED0F1E" w:rsidRDefault="00ED0F1E" w:rsidP="00ED0F1E">
      <w:pPr>
        <w:pStyle w:val="MDPI31text"/>
      </w:pPr>
      <w:r>
        <w:t>Similar to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w:t>
      </w:r>
      <w:r w:rsidR="00CF6199">
        <w:t>the</w:t>
      </w:r>
      <w:r>
        <w:t xml:space="preserve"> </w:t>
      </w:r>
      <w:r w:rsidR="00CF6199">
        <w:t xml:space="preserve">effect </w:t>
      </w:r>
      <w:r>
        <w:t xml:space="preserve">level of </w:t>
      </w:r>
      <w:r>
        <w:rPr>
          <w:i/>
          <w:iCs/>
        </w:rPr>
        <w:t>location:variety</w:t>
      </w:r>
      <w:r>
        <w:t>, the difference between the %N</w:t>
      </w:r>
      <w:r>
        <w:rPr>
          <w:vertAlign w:val="subscript"/>
        </w:rPr>
        <w:t>c</w:t>
      </w:r>
      <w:r>
        <w:t xml:space="preserve"> for a given comparison and reference CNDC was calculated at each value of W. From this computed set of difference in %N</w:t>
      </w:r>
      <w:r>
        <w:rPr>
          <w:vertAlign w:val="subscript"/>
        </w:rPr>
        <w:t>c</w:t>
      </w:r>
      <w:r>
        <w:t xml:space="preserve">, the 0.05, 0.50 (i.e., median) and 0.95 quantile values were identified for each </w:t>
      </w:r>
      <w:r w:rsidR="00CF6199">
        <w:t xml:space="preserve">effect </w:t>
      </w:r>
      <w:r>
        <w:t xml:space="preserve">level of </w:t>
      </w:r>
      <w:r>
        <w:rPr>
          <w:i/>
          <w:iCs/>
        </w:rPr>
        <w:t>location:variety</w:t>
      </w:r>
      <w:r>
        <w:t xml:space="preserve"> to determine the 90% credible region. For a given range of W values, the comparison curve considered to be not significantly different from the reference curve if the 0.05 and 0.95 quantile value were respectively less than and greater than zero (i.e., the 90% credible </w:t>
      </w:r>
      <w:r w:rsidR="00685EA9">
        <w:t>region</w:t>
      </w:r>
      <w:r>
        <w:t xml:space="preserve"> contains zero). In the case where the 0.05 quantile value was greater than zero, the comparison curve was </w:t>
      </w:r>
      <w:r w:rsidR="006D2791">
        <w:t>considered</w:t>
      </w:r>
      <w:r>
        <w:t xml:space="preserve"> to have a significantly greater %N</w:t>
      </w:r>
      <w:r>
        <w:rPr>
          <w:vertAlign w:val="subscript"/>
        </w:rPr>
        <w:t>c</w:t>
      </w:r>
      <w:r>
        <w:t xml:space="preserve"> than the reference curve. In the case where the 0.95 quantile value was less than zero, the comparison curve was </w:t>
      </w:r>
      <w:r w:rsidR="006D2791">
        <w:t>considered</w:t>
      </w:r>
      <w:r>
        <w:t xml:space="preserve"> to have a significantly l</w:t>
      </w:r>
      <w:r w:rsidR="006D2791">
        <w:t>ower</w:t>
      </w:r>
      <w:r>
        <w:t xml:space="preserve"> %N</w:t>
      </w:r>
      <w:r>
        <w:rPr>
          <w:vertAlign w:val="subscript"/>
        </w:rPr>
        <w:t>c</w:t>
      </w:r>
      <w:r>
        <w:t xml:space="preserve"> than the reference curve. To evaluate the differences between curves fit in the present study, the CNDC for a given </w:t>
      </w:r>
      <w:r w:rsidR="00E452C4">
        <w:t xml:space="preserve">effect </w:t>
      </w:r>
      <w:r>
        <w:t xml:space="preserve">level of </w:t>
      </w:r>
      <w:r>
        <w:rPr>
          <w:i/>
          <w:iCs/>
        </w:rPr>
        <w:t>location:variety</w:t>
      </w:r>
      <w:r>
        <w:t xml:space="preserve"> was compared to all other levels This approach allows for the direct evaluation of differences in %N</w:t>
      </w:r>
      <w:r>
        <w:rPr>
          <w:vertAlign w:val="subscript"/>
        </w:rPr>
        <w:t>c</w:t>
      </w:r>
      <w:r>
        <w:t xml:space="preserve"> 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 xml:space="preserve">Concentration </w:t>
      </w:r>
      <w:r w:rsidR="00ED0F1E">
        <w:t>across Statistical Methods</w:t>
      </w:r>
    </w:p>
    <w:p w14:paraId="72DA895E" w14:textId="6B0D1793"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Ben Abdallah, et al. [14], Giletto, et al. [17]</w:t>
      </w:r>
      <w:r>
        <w:fldChar w:fldCharType="end"/>
      </w:r>
      <w:r>
        <w:t>).</w:t>
      </w:r>
      <w:r w:rsidRPr="00C10327">
        <w:t xml:space="preserve"> </w:t>
      </w:r>
      <w:r>
        <w:t xml:space="preserve">Specifically, the previously published curves were evaluated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it is 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6F921192" w:rsidR="000C7F41" w:rsidRDefault="004451CE" w:rsidP="0024766D">
      <w:pPr>
        <w:pStyle w:val="MDPI31text"/>
      </w:pPr>
      <w:r>
        <w:t xml:space="preserve">First, this study demonstrated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difference) for the G x E interaction being considered.</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CNDC</w:t>
      </w:r>
      <w:r>
        <w:rPr>
          <w:vertAlign w:val="subscript"/>
        </w:rPr>
        <w:t>lo</w:t>
      </w:r>
      <w:r>
        <w:t xml:space="preserve"> (i.e., </w:t>
      </w:r>
      <w:r>
        <w:rPr>
          <w:i/>
          <w:iCs/>
        </w:rPr>
        <w:t>a</w:t>
      </w:r>
      <w:r>
        <w:rPr>
          <w:i/>
          <w:iCs/>
          <w:vertAlign w:val="subscript"/>
        </w:rPr>
        <w:t>lo</w:t>
      </w:r>
      <w:r>
        <w:t xml:space="preserve">, </w:t>
      </w:r>
      <w:r w:rsidRPr="004451CE">
        <w:rPr>
          <w:i/>
          <w:iCs/>
        </w:rPr>
        <w:t>b</w:t>
      </w:r>
      <w:r>
        <w:rPr>
          <w:i/>
          <w:iCs/>
          <w:vertAlign w:val="subscript"/>
        </w:rPr>
        <w:t>lo</w:t>
      </w:r>
      <w:r>
        <w:t>), and CNDC</w:t>
      </w:r>
      <w:r>
        <w:rPr>
          <w:vertAlign w:val="subscript"/>
        </w:rPr>
        <w:t>up</w:t>
      </w:r>
      <w:r>
        <w:t xml:space="preserve"> (i.e., </w:t>
      </w:r>
      <w:r>
        <w:rPr>
          <w:i/>
          <w:iCs/>
        </w:rPr>
        <w:t>a</w:t>
      </w:r>
      <w:r>
        <w:rPr>
          <w:i/>
          <w:iCs/>
          <w:vertAlign w:val="subscript"/>
        </w:rPr>
        <w:t>up</w:t>
      </w:r>
      <w:r>
        <w:t xml:space="preserve">, </w:t>
      </w:r>
      <w:r w:rsidRPr="004451CE">
        <w:rPr>
          <w:i/>
          <w:iCs/>
        </w:rPr>
        <w:t>b</w:t>
      </w:r>
      <w:r>
        <w:rPr>
          <w:i/>
          <w:iCs/>
          <w:vertAlign w:val="subscript"/>
        </w:rPr>
        <w:t>up</w:t>
      </w:r>
      <w:r>
        <w:t>)</w:t>
      </w:r>
      <w:r w:rsidR="000E5106">
        <w:t>, and t</w:t>
      </w:r>
      <w:r>
        <w:t xml:space="preserve">he </w:t>
      </w:r>
      <w:r w:rsidR="000E5106">
        <w:t>%N</w:t>
      </w:r>
      <w:r w:rsidR="000E5106">
        <w:rPr>
          <w:vertAlign w:val="subscript"/>
        </w:rPr>
        <w:t>c</w:t>
      </w:r>
      <w:r>
        <w:t xml:space="preserve"> value computed from these three curves should </w:t>
      </w:r>
      <w:r>
        <w:lastRenderedPageBreak/>
        <w:t>be used in all subsequent computations to propagate uncertainty.</w:t>
      </w:r>
      <w:r w:rsidR="0024766D">
        <w:t xml:space="preserve"> </w:t>
      </w:r>
      <w:r>
        <w:t xml:space="preserve">Third, this study demonstrated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is less susceptible to bias due to biased experimental data than the conventional</w:t>
      </w:r>
      <w:r w:rsidR="00E452C4">
        <w:t xml:space="preserve"> statistical</w:t>
      </w:r>
      <w:r w:rsidR="00A2317F">
        <w:t xml:space="preserve"> method</w:t>
      </w:r>
      <w:r w:rsidR="00E452C4">
        <w:t>s</w:t>
      </w:r>
      <w:r w:rsidR="00A2317F">
        <w:t>. Therefore, future efforts to derive CNDCs should utilize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CNUtEC. Therefore, NUE is dependent on the mechanisms that control N dilution (i.e., biomass partitioning), and future efforts to improve NUE should explicitly consider how G x E interactions </w:t>
      </w:r>
      <w:r w:rsidR="00055DCB">
        <w:t>a</w:t>
      </w:r>
      <w:r w:rsidR="00C455F3">
        <w:t>ffect N dilution.</w:t>
      </w:r>
    </w:p>
    <w:p w14:paraId="744AACD5" w14:textId="36FA2460"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w:t>
      </w:r>
      <w:r w:rsidR="00E452C4">
        <w:t>variety within location</w:t>
      </w:r>
      <w:r>
        <w:t xml:space="preserve">, Table S1: </w:t>
      </w:r>
      <w:r w:rsidR="00D67E5C">
        <w:t>E</w:t>
      </w:r>
      <w:r w:rsidR="00E954CA">
        <w:t>xperimental data used to fit hierarchical Bayesian model</w:t>
      </w:r>
      <w:r w:rsidR="005747D8">
        <w:t>.</w:t>
      </w:r>
    </w:p>
    <w:p w14:paraId="2B99849C" w14:textId="7B2A0885"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w:t>
      </w:r>
      <w:r w:rsidR="00E27185">
        <w:t>.</w:t>
      </w:r>
      <w:r w:rsidR="00FC1A8B">
        <w:t>M.</w:t>
      </w:r>
      <w:r>
        <w:t>;</w:t>
      </w:r>
      <w:r w:rsidR="00FC1A8B">
        <w:t xml:space="preserve"> </w:t>
      </w:r>
      <w:r>
        <w:t xml:space="preserve">software, </w:t>
      </w:r>
      <w:r w:rsidR="00FC1A8B">
        <w:t>B.B</w:t>
      </w:r>
      <w:r>
        <w:t>.</w:t>
      </w:r>
      <w:r w:rsidR="00FC1A8B">
        <w:t xml:space="preserve"> and M.C</w:t>
      </w:r>
      <w:r w:rsidR="00E27185">
        <w:t>.</w:t>
      </w:r>
      <w:r w:rsidR="00FC1A8B">
        <w:t>M</w:t>
      </w:r>
      <w:r w:rsidR="00E27185">
        <w:t>.</w:t>
      </w:r>
      <w:r>
        <w:t>;</w:t>
      </w:r>
      <w:r w:rsidR="00FC1A8B">
        <w:t xml:space="preserve"> validation, B.B., and M.C</w:t>
      </w:r>
      <w:r w:rsidR="00E27185">
        <w:t>.</w:t>
      </w:r>
      <w:r w:rsidR="00FC1A8B">
        <w:t xml:space="preserve">M.; </w:t>
      </w:r>
      <w:r>
        <w:t xml:space="preserve">formal analysis, </w:t>
      </w:r>
      <w:r w:rsidR="00FC1A8B">
        <w:t>B.B. and M.C</w:t>
      </w:r>
      <w:r w:rsidR="00E27185">
        <w:t>.</w:t>
      </w:r>
      <w:r w:rsidR="00FC1A8B">
        <w:t>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E27185">
        <w:t xml:space="preserve">B.B., </w:t>
      </w:r>
      <w:r w:rsidR="000E2F6D">
        <w:t>M.C</w:t>
      </w:r>
      <w:r w:rsidR="00E27185">
        <w:t>.</w:t>
      </w:r>
      <w:r w:rsidR="000E2F6D">
        <w:t>M</w:t>
      </w:r>
      <w:r w:rsidR="00E27185">
        <w:t>.</w:t>
      </w:r>
      <w:r w:rsidR="000E2F6D">
        <w:t>, C.R., D.M.</w:t>
      </w:r>
      <w:r>
        <w:t>;</w:t>
      </w:r>
      <w:r w:rsidR="000E2F6D">
        <w:t xml:space="preserve"> </w:t>
      </w:r>
      <w:r>
        <w:t xml:space="preserve">visualization, </w:t>
      </w:r>
      <w:r w:rsidR="000E2F6D">
        <w:t>B.B., M.C</w:t>
      </w:r>
      <w:r w:rsidR="00E27185">
        <w:t>.</w:t>
      </w:r>
      <w:r w:rsidR="000E2F6D">
        <w:t>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was funded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2"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23" w:history="1">
        <w:r w:rsidR="00E54CFB" w:rsidRPr="00157594">
          <w:rPr>
            <w:rStyle w:val="Hyperlink"/>
          </w:rPr>
          <w:t>https://github.com/bohm0072/cndc_bayesian_eval</w:t>
        </w:r>
      </w:hyperlink>
      <w:r w:rsidR="00E54CFB">
        <w:t>)</w:t>
      </w:r>
      <w:r w:rsidR="00E03F08">
        <w:t xml:space="preserve"> contains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2"/>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7C7D8045" w14:textId="77777777" w:rsidR="00B54316" w:rsidRPr="00B54316" w:rsidRDefault="00565FBF" w:rsidP="00B54316">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B54316" w:rsidRPr="00B54316">
        <w:rPr>
          <w:noProof/>
        </w:rPr>
        <w:t xml:space="preserve">Morris, T.F.; Murrell, T.S.; Beegle, D.B.; Camberato, J.J.; Ferguson, R.B.; Grove, J.; Ketterings, Q.; Kyveryga, P.M.; Laboski, C.A.M.; McGrath, J.M.; et al. Strengths and Limitations of Nitrogen Rate Recommendations for Corn and Opportunities for Improvement. </w:t>
      </w:r>
      <w:r w:rsidR="00B54316" w:rsidRPr="00B54316">
        <w:rPr>
          <w:i/>
          <w:noProof/>
        </w:rPr>
        <w:t xml:space="preserve">Agron. J. </w:t>
      </w:r>
      <w:r w:rsidR="00B54316" w:rsidRPr="00B54316">
        <w:rPr>
          <w:b/>
          <w:noProof/>
        </w:rPr>
        <w:t>2018</w:t>
      </w:r>
      <w:r w:rsidR="00B54316" w:rsidRPr="00B54316">
        <w:rPr>
          <w:noProof/>
        </w:rPr>
        <w:t xml:space="preserve">, </w:t>
      </w:r>
      <w:r w:rsidR="00B54316" w:rsidRPr="00B54316">
        <w:rPr>
          <w:i/>
          <w:noProof/>
        </w:rPr>
        <w:t>110</w:t>
      </w:r>
      <w:r w:rsidR="00B54316" w:rsidRPr="00B54316">
        <w:rPr>
          <w:noProof/>
        </w:rPr>
        <w:t>, 1, doi:10.2134/agronj2017.02.0112.</w:t>
      </w:r>
    </w:p>
    <w:p w14:paraId="4A552B1F" w14:textId="77777777" w:rsidR="00B54316" w:rsidRPr="00B54316" w:rsidRDefault="00B54316" w:rsidP="00B54316">
      <w:pPr>
        <w:pStyle w:val="MDPI71References"/>
        <w:rPr>
          <w:noProof/>
        </w:rPr>
      </w:pPr>
      <w:r w:rsidRPr="00B54316">
        <w:rPr>
          <w:noProof/>
        </w:rPr>
        <w:t xml:space="preserve">Lemaire, G.; Sinclair, T.; Sadras, V.; Bélanger, G. Allometric approach to crop nutrition and implications for crop diagnosis and phenotyping. A review. </w:t>
      </w:r>
      <w:r w:rsidRPr="00B54316">
        <w:rPr>
          <w:i/>
          <w:noProof/>
        </w:rPr>
        <w:t xml:space="preserve">Agron. Sustain. Dev. </w:t>
      </w:r>
      <w:r w:rsidRPr="00B54316">
        <w:rPr>
          <w:b/>
          <w:noProof/>
        </w:rPr>
        <w:t>2019</w:t>
      </w:r>
      <w:r w:rsidRPr="00B54316">
        <w:rPr>
          <w:noProof/>
        </w:rPr>
        <w:t xml:space="preserve">, </w:t>
      </w:r>
      <w:r w:rsidRPr="00B54316">
        <w:rPr>
          <w:i/>
          <w:noProof/>
        </w:rPr>
        <w:t>39</w:t>
      </w:r>
      <w:r w:rsidRPr="00B54316">
        <w:rPr>
          <w:noProof/>
        </w:rPr>
        <w:t>, doi:10.1007/s13593-019-0570-6.</w:t>
      </w:r>
    </w:p>
    <w:p w14:paraId="72E5E4B7" w14:textId="77777777" w:rsidR="00B54316" w:rsidRPr="00B54316" w:rsidRDefault="00B54316" w:rsidP="00B54316">
      <w:pPr>
        <w:pStyle w:val="MDPI71References"/>
        <w:rPr>
          <w:noProof/>
        </w:rPr>
      </w:pPr>
      <w:r w:rsidRPr="00B54316">
        <w:rPr>
          <w:noProof/>
        </w:rPr>
        <w:t xml:space="preserve">Houlès, V.; Guérif, M.; Mary, B. Elaboration of a nitrogen nutrition indicator for winter wheat based on leaf area index and chlorophyll content for making nitrogen recommendations. </w:t>
      </w:r>
      <w:r w:rsidRPr="00B54316">
        <w:rPr>
          <w:i/>
          <w:noProof/>
        </w:rPr>
        <w:t xml:space="preserve">Eur. J. Agron. </w:t>
      </w:r>
      <w:r w:rsidRPr="00B54316">
        <w:rPr>
          <w:b/>
          <w:noProof/>
        </w:rPr>
        <w:t>2007</w:t>
      </w:r>
      <w:r w:rsidRPr="00B54316">
        <w:rPr>
          <w:noProof/>
        </w:rPr>
        <w:t xml:space="preserve">, </w:t>
      </w:r>
      <w:r w:rsidRPr="00B54316">
        <w:rPr>
          <w:i/>
          <w:noProof/>
        </w:rPr>
        <w:t>27</w:t>
      </w:r>
      <w:r w:rsidRPr="00B54316">
        <w:rPr>
          <w:noProof/>
        </w:rPr>
        <w:t>, 1-11, doi:10.1016/j.eja.2006.10.001.</w:t>
      </w:r>
    </w:p>
    <w:p w14:paraId="0519C6AB" w14:textId="77777777" w:rsidR="00B54316" w:rsidRPr="00B54316" w:rsidRDefault="00B54316" w:rsidP="00B54316">
      <w:pPr>
        <w:pStyle w:val="MDPI71References"/>
        <w:rPr>
          <w:noProof/>
        </w:rPr>
      </w:pPr>
      <w:r w:rsidRPr="00B54316">
        <w:rPr>
          <w:noProof/>
        </w:rPr>
        <w:t xml:space="preserve">Morier, T.; Cambouris, A.N.; Chokmani, K. In-Season Nitrogen Status Assessment and Yield Estimation Using Hyperspectral Vegetation Indices in a Potato Crop. </w:t>
      </w:r>
      <w:r w:rsidRPr="00B54316">
        <w:rPr>
          <w:i/>
          <w:noProof/>
        </w:rPr>
        <w:t xml:space="preserve">Agron. J. </w:t>
      </w:r>
      <w:r w:rsidRPr="00B54316">
        <w:rPr>
          <w:b/>
          <w:noProof/>
        </w:rPr>
        <w:t>2015</w:t>
      </w:r>
      <w:r w:rsidRPr="00B54316">
        <w:rPr>
          <w:noProof/>
        </w:rPr>
        <w:t xml:space="preserve">, </w:t>
      </w:r>
      <w:r w:rsidRPr="00B54316">
        <w:rPr>
          <w:i/>
          <w:noProof/>
        </w:rPr>
        <w:t>107</w:t>
      </w:r>
      <w:r w:rsidRPr="00B54316">
        <w:rPr>
          <w:noProof/>
        </w:rPr>
        <w:t>, 1295-1309, doi:10.2134/agronj14.0402.</w:t>
      </w:r>
    </w:p>
    <w:p w14:paraId="6FE489F2" w14:textId="77777777" w:rsidR="00B54316" w:rsidRPr="00B54316" w:rsidRDefault="00B54316" w:rsidP="00B54316">
      <w:pPr>
        <w:pStyle w:val="MDPI71References"/>
        <w:rPr>
          <w:noProof/>
        </w:rPr>
      </w:pPr>
      <w:r w:rsidRPr="00B54316">
        <w:rPr>
          <w:noProof/>
        </w:rPr>
        <w:t xml:space="preserve">Sadras, V.O.; Lemaire, G. Quantifying crop nitrogen status for comparisons of agronomic practices and genotypes. </w:t>
      </w:r>
      <w:r w:rsidRPr="00B54316">
        <w:rPr>
          <w:i/>
          <w:noProof/>
        </w:rPr>
        <w:t xml:space="preserve">Field Crops Res. </w:t>
      </w:r>
      <w:r w:rsidRPr="00B54316">
        <w:rPr>
          <w:b/>
          <w:noProof/>
        </w:rPr>
        <w:t>2014</w:t>
      </w:r>
      <w:r w:rsidRPr="00B54316">
        <w:rPr>
          <w:noProof/>
        </w:rPr>
        <w:t xml:space="preserve">, </w:t>
      </w:r>
      <w:r w:rsidRPr="00B54316">
        <w:rPr>
          <w:i/>
          <w:noProof/>
        </w:rPr>
        <w:t>164</w:t>
      </w:r>
      <w:r w:rsidRPr="00B54316">
        <w:rPr>
          <w:noProof/>
        </w:rPr>
        <w:t>, 54-64, doi:10.1016/j.fcr.2014.05.006.</w:t>
      </w:r>
    </w:p>
    <w:p w14:paraId="2B381AD1" w14:textId="77777777" w:rsidR="00B54316" w:rsidRPr="00B54316" w:rsidRDefault="00B54316" w:rsidP="00B54316">
      <w:pPr>
        <w:pStyle w:val="MDPI71References"/>
        <w:rPr>
          <w:noProof/>
        </w:rPr>
      </w:pPr>
      <w:r w:rsidRPr="00B54316">
        <w:rPr>
          <w:noProof/>
        </w:rPr>
        <w:t xml:space="preserve">Gastal, F.; Lemaire, G.; Durand, J.-L.; Louarn, G. Quantifying crop responses to nitrogen and avenues to improve nitrogen-use efficiency. In </w:t>
      </w:r>
      <w:r w:rsidRPr="00B54316">
        <w:rPr>
          <w:i/>
          <w:noProof/>
        </w:rPr>
        <w:t>Crop Physiology</w:t>
      </w:r>
      <w:r w:rsidRPr="00B54316">
        <w:rPr>
          <w:noProof/>
        </w:rPr>
        <w:t>, Second ed.; 2015; pp. 161-206.</w:t>
      </w:r>
    </w:p>
    <w:p w14:paraId="63A84062" w14:textId="77777777" w:rsidR="00B54316" w:rsidRPr="00B54316" w:rsidRDefault="00B54316" w:rsidP="00B54316">
      <w:pPr>
        <w:pStyle w:val="MDPI71References"/>
        <w:rPr>
          <w:noProof/>
        </w:rPr>
      </w:pPr>
      <w:r w:rsidRPr="00B54316">
        <w:rPr>
          <w:noProof/>
        </w:rPr>
        <w:t xml:space="preserve">Greenwood, D.J.; Lemaire, G.; Gosse, G.; Cruz, P.; Draycott, A.; Neeteson, J.J. Decline in Percentage N of C3 and C4 Crops with Increasing Plant Mass. </w:t>
      </w:r>
      <w:r w:rsidRPr="00B54316">
        <w:rPr>
          <w:i/>
          <w:noProof/>
        </w:rPr>
        <w:t xml:space="preserve">Ann. Bot. </w:t>
      </w:r>
      <w:r w:rsidRPr="00B54316">
        <w:rPr>
          <w:b/>
          <w:noProof/>
        </w:rPr>
        <w:t>1990</w:t>
      </w:r>
      <w:r w:rsidRPr="00B54316">
        <w:rPr>
          <w:noProof/>
        </w:rPr>
        <w:t xml:space="preserve">, </w:t>
      </w:r>
      <w:r w:rsidRPr="00B54316">
        <w:rPr>
          <w:i/>
          <w:noProof/>
        </w:rPr>
        <w:t>66</w:t>
      </w:r>
      <w:r w:rsidRPr="00B54316">
        <w:rPr>
          <w:noProof/>
        </w:rPr>
        <w:t>, 425-436, doi:10.1093/oxfordjournals.aob.a088044.</w:t>
      </w:r>
    </w:p>
    <w:p w14:paraId="420817A0" w14:textId="77777777" w:rsidR="00B54316" w:rsidRPr="00B54316" w:rsidRDefault="00B54316" w:rsidP="00B54316">
      <w:pPr>
        <w:pStyle w:val="MDPI71References"/>
        <w:rPr>
          <w:noProof/>
        </w:rPr>
      </w:pPr>
      <w:r w:rsidRPr="00B54316">
        <w:rPr>
          <w:noProof/>
        </w:rPr>
        <w:t xml:space="preserve">Justes, E.; Mary, B.; Meynard, J.-M.; Machet, J.-M.; Thelier-Huche, L. Determination of a Critical Nitrogen Dilution Curve for Winter Wheat Crops. </w:t>
      </w:r>
      <w:r w:rsidRPr="00B54316">
        <w:rPr>
          <w:i/>
          <w:noProof/>
        </w:rPr>
        <w:t xml:space="preserve">Ann. Bot. </w:t>
      </w:r>
      <w:r w:rsidRPr="00B54316">
        <w:rPr>
          <w:b/>
          <w:noProof/>
        </w:rPr>
        <w:t>1994</w:t>
      </w:r>
      <w:r w:rsidRPr="00B54316">
        <w:rPr>
          <w:noProof/>
        </w:rPr>
        <w:t xml:space="preserve">, </w:t>
      </w:r>
      <w:r w:rsidRPr="00B54316">
        <w:rPr>
          <w:i/>
          <w:noProof/>
        </w:rPr>
        <w:t>74</w:t>
      </w:r>
      <w:r w:rsidRPr="00B54316">
        <w:rPr>
          <w:noProof/>
        </w:rPr>
        <w:t>, 397-407, doi:10.1006/anbo.1994.1133.</w:t>
      </w:r>
    </w:p>
    <w:p w14:paraId="78FAEE2B" w14:textId="77777777" w:rsidR="00B54316" w:rsidRPr="00B54316" w:rsidRDefault="00B54316" w:rsidP="00B54316">
      <w:pPr>
        <w:pStyle w:val="MDPI71References"/>
        <w:rPr>
          <w:noProof/>
        </w:rPr>
      </w:pPr>
      <w:r w:rsidRPr="00B54316">
        <w:rPr>
          <w:noProof/>
        </w:rPr>
        <w:t xml:space="preserve">Lemaire, G.; Gastal, F. N Uptake and Distribution in Plant Canopies. In </w:t>
      </w:r>
      <w:r w:rsidRPr="00B54316">
        <w:rPr>
          <w:i/>
          <w:noProof/>
        </w:rPr>
        <w:t>Diagnosis of the Nitrogen Status in Crops</w:t>
      </w:r>
      <w:r w:rsidRPr="00B54316">
        <w:rPr>
          <w:noProof/>
        </w:rPr>
        <w:t>, Lemaire, G., Ed.; Springer: Berlin, 1997; pp. 3-43.</w:t>
      </w:r>
    </w:p>
    <w:p w14:paraId="3C9C132A" w14:textId="77777777" w:rsidR="00B54316" w:rsidRPr="00B54316" w:rsidRDefault="00B54316" w:rsidP="00B54316">
      <w:pPr>
        <w:pStyle w:val="MDPI71References"/>
        <w:rPr>
          <w:noProof/>
        </w:rPr>
      </w:pPr>
      <w:r w:rsidRPr="00B54316">
        <w:rPr>
          <w:noProof/>
        </w:rPr>
        <w:t xml:space="preserve">Plénet, D.; Lemaire, G. Relationships between dynamics of nitrogen uptake and dry matter accumulation in maize crops. Determination of critical N concentration. </w:t>
      </w:r>
      <w:r w:rsidRPr="00B54316">
        <w:rPr>
          <w:i/>
          <w:noProof/>
        </w:rPr>
        <w:t xml:space="preserve">Plant Soil </w:t>
      </w:r>
      <w:r w:rsidRPr="00B54316">
        <w:rPr>
          <w:b/>
          <w:noProof/>
        </w:rPr>
        <w:t>2000</w:t>
      </w:r>
      <w:r w:rsidRPr="00B54316">
        <w:rPr>
          <w:noProof/>
        </w:rPr>
        <w:t xml:space="preserve">, </w:t>
      </w:r>
      <w:r w:rsidRPr="00B54316">
        <w:rPr>
          <w:i/>
          <w:noProof/>
        </w:rPr>
        <w:t>216</w:t>
      </w:r>
      <w:r w:rsidRPr="00B54316">
        <w:rPr>
          <w:noProof/>
        </w:rPr>
        <w:t>, 65-82, doi:10.1023/a:1004783431055.</w:t>
      </w:r>
    </w:p>
    <w:p w14:paraId="180BEA3A" w14:textId="77777777" w:rsidR="00B54316" w:rsidRPr="00B54316" w:rsidRDefault="00B54316" w:rsidP="00B54316">
      <w:pPr>
        <w:pStyle w:val="MDPI71References"/>
        <w:rPr>
          <w:noProof/>
        </w:rPr>
      </w:pPr>
      <w:r w:rsidRPr="00B54316">
        <w:rPr>
          <w:noProof/>
        </w:rPr>
        <w:t xml:space="preserve">Duchenne, T.; Machet, J.M.; Martin, M. Potatoes. In </w:t>
      </w:r>
      <w:r w:rsidRPr="00B54316">
        <w:rPr>
          <w:i/>
          <w:noProof/>
        </w:rPr>
        <w:t>Diagonsis of the Nitrogen Status in Crops</w:t>
      </w:r>
      <w:r w:rsidRPr="00B54316">
        <w:rPr>
          <w:noProof/>
        </w:rPr>
        <w:t>, Lemaire, G., Ed.; Springer: Berlin, 1997; pp. 119-130.</w:t>
      </w:r>
    </w:p>
    <w:p w14:paraId="22FB5B58" w14:textId="77777777" w:rsidR="00B54316" w:rsidRPr="00B54316" w:rsidRDefault="00B54316" w:rsidP="00B54316">
      <w:pPr>
        <w:pStyle w:val="MDPI71References"/>
        <w:rPr>
          <w:noProof/>
        </w:rPr>
      </w:pPr>
      <w:r w:rsidRPr="00B54316">
        <w:rPr>
          <w:noProof/>
        </w:rPr>
        <w:t xml:space="preserve">Greenwood, D.J.; Neeteson, J.J.; Draycott, A. Quantitative relationships for the dependence of growth rate of arable crops on their nitrogen content, dry weight and aerial environment. </w:t>
      </w:r>
      <w:r w:rsidRPr="00B54316">
        <w:rPr>
          <w:i/>
          <w:noProof/>
        </w:rPr>
        <w:t xml:space="preserve">Plant Soil </w:t>
      </w:r>
      <w:r w:rsidRPr="00B54316">
        <w:rPr>
          <w:b/>
          <w:noProof/>
        </w:rPr>
        <w:t>1986</w:t>
      </w:r>
      <w:r w:rsidRPr="00B54316">
        <w:rPr>
          <w:noProof/>
        </w:rPr>
        <w:t xml:space="preserve">, </w:t>
      </w:r>
      <w:r w:rsidRPr="00B54316">
        <w:rPr>
          <w:i/>
          <w:noProof/>
        </w:rPr>
        <w:t>91</w:t>
      </w:r>
      <w:r w:rsidRPr="00B54316">
        <w:rPr>
          <w:noProof/>
        </w:rPr>
        <w:t>, 281-301, doi:10.1007/BF02198111.</w:t>
      </w:r>
    </w:p>
    <w:p w14:paraId="3D7B2626" w14:textId="77777777" w:rsidR="00B54316" w:rsidRPr="00B54316" w:rsidRDefault="00B54316" w:rsidP="00B54316">
      <w:pPr>
        <w:pStyle w:val="MDPI71References"/>
        <w:rPr>
          <w:noProof/>
        </w:rPr>
      </w:pPr>
      <w:r w:rsidRPr="00B54316">
        <w:rPr>
          <w:noProof/>
        </w:rPr>
        <w:t xml:space="preserve">Herrmann, A.; Taube, F. The Range of the Critical Nitrogen Dilution Curve for Maize (Zea mays L.) Can Be Extended Until Silage Maturity. </w:t>
      </w:r>
      <w:r w:rsidRPr="00B54316">
        <w:rPr>
          <w:i/>
          <w:noProof/>
        </w:rPr>
        <w:t xml:space="preserve">Agron. J. </w:t>
      </w:r>
      <w:r w:rsidRPr="00B54316">
        <w:rPr>
          <w:b/>
          <w:noProof/>
        </w:rPr>
        <w:t>2004</w:t>
      </w:r>
      <w:r w:rsidRPr="00B54316">
        <w:rPr>
          <w:noProof/>
        </w:rPr>
        <w:t xml:space="preserve">, </w:t>
      </w:r>
      <w:r w:rsidRPr="00B54316">
        <w:rPr>
          <w:i/>
          <w:noProof/>
        </w:rPr>
        <w:t>96</w:t>
      </w:r>
      <w:r w:rsidRPr="00B54316">
        <w:rPr>
          <w:noProof/>
        </w:rPr>
        <w:t>, 1131-1138, doi:10.2134/agronj2004.1131.</w:t>
      </w:r>
    </w:p>
    <w:p w14:paraId="6E586A46" w14:textId="77777777" w:rsidR="00B54316" w:rsidRPr="00B54316" w:rsidRDefault="00B54316" w:rsidP="00B54316">
      <w:pPr>
        <w:pStyle w:val="MDPI71References"/>
        <w:rPr>
          <w:noProof/>
        </w:rPr>
      </w:pPr>
      <w:r w:rsidRPr="00B54316">
        <w:rPr>
          <w:noProof/>
        </w:rPr>
        <w:t xml:space="preserve">Ben Abdallah, F.; Olivier, M.; Goffart, J.P.; Minet, O. Establishing the Nitrogen Dilution Curve for Potato Cultivar Bintje in Belgium. </w:t>
      </w:r>
      <w:r w:rsidRPr="00B54316">
        <w:rPr>
          <w:i/>
          <w:noProof/>
        </w:rPr>
        <w:t xml:space="preserve">Potato Res. </w:t>
      </w:r>
      <w:r w:rsidRPr="00B54316">
        <w:rPr>
          <w:b/>
          <w:noProof/>
        </w:rPr>
        <w:t>2016</w:t>
      </w:r>
      <w:r w:rsidRPr="00B54316">
        <w:rPr>
          <w:noProof/>
        </w:rPr>
        <w:t xml:space="preserve">, </w:t>
      </w:r>
      <w:r w:rsidRPr="00B54316">
        <w:rPr>
          <w:i/>
          <w:noProof/>
        </w:rPr>
        <w:t>59</w:t>
      </w:r>
      <w:r w:rsidRPr="00B54316">
        <w:rPr>
          <w:noProof/>
        </w:rPr>
        <w:t>, 241-258, doi:10.1007/s11540-016-9331-y.</w:t>
      </w:r>
    </w:p>
    <w:p w14:paraId="1B7640F9" w14:textId="77777777" w:rsidR="00B54316" w:rsidRPr="00B54316" w:rsidRDefault="00B54316" w:rsidP="00B54316">
      <w:pPr>
        <w:pStyle w:val="MDPI71References"/>
        <w:rPr>
          <w:noProof/>
        </w:rPr>
      </w:pPr>
      <w:r w:rsidRPr="00B54316">
        <w:rPr>
          <w:noProof/>
        </w:rPr>
        <w:t xml:space="preserve">Bélanger, G.; Walsh, J.R.; Richards, J.E.; Milburn, P.H.; Ziadi, N. Critical Nitrogen Curve and Nitrogen Nutrition Index for Potato in Eastern Canada. </w:t>
      </w:r>
      <w:r w:rsidRPr="00B54316">
        <w:rPr>
          <w:i/>
          <w:noProof/>
        </w:rPr>
        <w:t xml:space="preserve">Am. J. Potato Res. </w:t>
      </w:r>
      <w:r w:rsidRPr="00B54316">
        <w:rPr>
          <w:b/>
          <w:noProof/>
        </w:rPr>
        <w:t>2001</w:t>
      </w:r>
      <w:r w:rsidRPr="00B54316">
        <w:rPr>
          <w:noProof/>
        </w:rPr>
        <w:t xml:space="preserve">, </w:t>
      </w:r>
      <w:r w:rsidRPr="00B54316">
        <w:rPr>
          <w:i/>
          <w:noProof/>
        </w:rPr>
        <w:t>78</w:t>
      </w:r>
      <w:r w:rsidRPr="00B54316">
        <w:rPr>
          <w:noProof/>
        </w:rPr>
        <w:t>, 355-364, doi:10.1007/BF02884344.</w:t>
      </w:r>
    </w:p>
    <w:p w14:paraId="1DA1E228" w14:textId="77777777" w:rsidR="00B54316" w:rsidRPr="00B54316" w:rsidRDefault="00B54316" w:rsidP="00B54316">
      <w:pPr>
        <w:pStyle w:val="MDPI71References"/>
        <w:rPr>
          <w:noProof/>
        </w:rPr>
      </w:pPr>
      <w:r w:rsidRPr="00B54316">
        <w:rPr>
          <w:noProof/>
        </w:rPr>
        <w:t xml:space="preserve">Giletto, C.M.; Echeverría, H.E. Critical Nitrogen Dilution Curve in Processing Potato Cultivars. </w:t>
      </w:r>
      <w:r w:rsidRPr="00B54316">
        <w:rPr>
          <w:i/>
          <w:noProof/>
        </w:rPr>
        <w:t xml:space="preserve">Am. J. Plant Sci. </w:t>
      </w:r>
      <w:r w:rsidRPr="00B54316">
        <w:rPr>
          <w:b/>
          <w:noProof/>
        </w:rPr>
        <w:t>2015</w:t>
      </w:r>
      <w:r w:rsidRPr="00B54316">
        <w:rPr>
          <w:noProof/>
        </w:rPr>
        <w:t xml:space="preserve">, </w:t>
      </w:r>
      <w:r w:rsidRPr="00B54316">
        <w:rPr>
          <w:i/>
          <w:noProof/>
        </w:rPr>
        <w:t>06</w:t>
      </w:r>
      <w:r w:rsidRPr="00B54316">
        <w:rPr>
          <w:noProof/>
        </w:rPr>
        <w:t>, 3144-3156, doi:10.4236/ajps.2015.619306.</w:t>
      </w:r>
    </w:p>
    <w:p w14:paraId="7385D185" w14:textId="77777777" w:rsidR="00B54316" w:rsidRPr="00B54316" w:rsidRDefault="00B54316" w:rsidP="00B54316">
      <w:pPr>
        <w:pStyle w:val="MDPI71References"/>
        <w:rPr>
          <w:noProof/>
        </w:rPr>
      </w:pPr>
      <w:r w:rsidRPr="00B54316">
        <w:rPr>
          <w:noProof/>
        </w:rPr>
        <w:t xml:space="preserve">Giletto, C.M.; Reussi Calvo, N.I.; Sandaña, P.; Echeverría, H.E.; Bélanger, G. Shoot- and tuber-based critical nitrogen dilution curves for the prediction of the N status in potato. </w:t>
      </w:r>
      <w:r w:rsidRPr="00B54316">
        <w:rPr>
          <w:i/>
          <w:noProof/>
        </w:rPr>
        <w:t xml:space="preserve">Eur. J. Agron. </w:t>
      </w:r>
      <w:r w:rsidRPr="00B54316">
        <w:rPr>
          <w:b/>
          <w:noProof/>
        </w:rPr>
        <w:t>2020</w:t>
      </w:r>
      <w:r w:rsidRPr="00B54316">
        <w:rPr>
          <w:noProof/>
        </w:rPr>
        <w:t xml:space="preserve">, </w:t>
      </w:r>
      <w:r w:rsidRPr="00B54316">
        <w:rPr>
          <w:i/>
          <w:noProof/>
        </w:rPr>
        <w:t>119</w:t>
      </w:r>
      <w:r w:rsidRPr="00B54316">
        <w:rPr>
          <w:noProof/>
        </w:rPr>
        <w:t>, doi:10.1016/j.eja.2020.126114.</w:t>
      </w:r>
    </w:p>
    <w:p w14:paraId="48928603" w14:textId="77777777" w:rsidR="00B54316" w:rsidRPr="00B54316" w:rsidRDefault="00B54316" w:rsidP="00B54316">
      <w:pPr>
        <w:pStyle w:val="MDPI71References"/>
        <w:rPr>
          <w:noProof/>
        </w:rPr>
      </w:pPr>
      <w:r w:rsidRPr="00B54316">
        <w:rPr>
          <w:noProof/>
        </w:rPr>
        <w:t xml:space="preserve">Lemaire, G.; Ciampitti, I. Crop Mass and N Status as Prerequisite Covariables for Unraveling Nitrogen Use Efficiency across Genotype-by-Environment-by-Management Scenarios: A Review. </w:t>
      </w:r>
      <w:r w:rsidRPr="00B54316">
        <w:rPr>
          <w:i/>
          <w:noProof/>
        </w:rPr>
        <w:t xml:space="preserve">Plants </w:t>
      </w:r>
      <w:r w:rsidRPr="00B54316">
        <w:rPr>
          <w:b/>
          <w:noProof/>
        </w:rPr>
        <w:t>2020</w:t>
      </w:r>
      <w:r w:rsidRPr="00B54316">
        <w:rPr>
          <w:noProof/>
        </w:rPr>
        <w:t xml:space="preserve">, </w:t>
      </w:r>
      <w:r w:rsidRPr="00B54316">
        <w:rPr>
          <w:i/>
          <w:noProof/>
        </w:rPr>
        <w:t>9</w:t>
      </w:r>
      <w:r w:rsidRPr="00B54316">
        <w:rPr>
          <w:noProof/>
        </w:rPr>
        <w:t>, doi:10.3390/plants9101309.</w:t>
      </w:r>
    </w:p>
    <w:p w14:paraId="193AA735" w14:textId="77777777" w:rsidR="00B54316" w:rsidRPr="00B54316" w:rsidRDefault="00B54316" w:rsidP="00B54316">
      <w:pPr>
        <w:pStyle w:val="MDPI71References"/>
        <w:rPr>
          <w:noProof/>
        </w:rPr>
      </w:pPr>
      <w:r w:rsidRPr="00B54316">
        <w:rPr>
          <w:noProof/>
        </w:rPr>
        <w:t xml:space="preserve">Makowski, D.; Zhao, B.; Ata-Ul-Karim, S.T.; Lemaire, G. Analyzing uncertainty in critical nitrogen dilution curves. </w:t>
      </w:r>
      <w:r w:rsidRPr="00B54316">
        <w:rPr>
          <w:i/>
          <w:noProof/>
        </w:rPr>
        <w:t xml:space="preserve">Eur. J. Agron. </w:t>
      </w:r>
      <w:r w:rsidRPr="00B54316">
        <w:rPr>
          <w:b/>
          <w:noProof/>
        </w:rPr>
        <w:t>2020</w:t>
      </w:r>
      <w:r w:rsidRPr="00B54316">
        <w:rPr>
          <w:noProof/>
        </w:rPr>
        <w:t xml:space="preserve">, </w:t>
      </w:r>
      <w:r w:rsidRPr="00B54316">
        <w:rPr>
          <w:i/>
          <w:noProof/>
        </w:rPr>
        <w:t>118</w:t>
      </w:r>
      <w:r w:rsidRPr="00B54316">
        <w:rPr>
          <w:noProof/>
        </w:rPr>
        <w:t>, doi:10.1016/j.eja.2020.126076.</w:t>
      </w:r>
    </w:p>
    <w:p w14:paraId="4F038612" w14:textId="77777777" w:rsidR="00B54316" w:rsidRPr="00B54316" w:rsidRDefault="00B54316" w:rsidP="00B54316">
      <w:pPr>
        <w:pStyle w:val="MDPI71References"/>
        <w:rPr>
          <w:noProof/>
        </w:rPr>
      </w:pPr>
      <w:r w:rsidRPr="00B54316">
        <w:rPr>
          <w:noProof/>
        </w:rPr>
        <w:t xml:space="preserve">Ciampitti, I.A.; Fernandez, J.; Tamagno, S.; Zhao, B.; Lemaire, G.; Makowski, D. Does the critical N dilution curve for maize crop vary across genotype x environment x management scenarios? - a Bayesian analysis. </w:t>
      </w:r>
      <w:r w:rsidRPr="00B54316">
        <w:rPr>
          <w:i/>
          <w:noProof/>
        </w:rPr>
        <w:t xml:space="preserve">Eur. J. Agron. </w:t>
      </w:r>
      <w:r w:rsidRPr="00B54316">
        <w:rPr>
          <w:b/>
          <w:noProof/>
        </w:rPr>
        <w:t>2021</w:t>
      </w:r>
      <w:r w:rsidRPr="00B54316">
        <w:rPr>
          <w:noProof/>
        </w:rPr>
        <w:t xml:space="preserve">, </w:t>
      </w:r>
      <w:r w:rsidRPr="00B54316">
        <w:rPr>
          <w:i/>
          <w:noProof/>
        </w:rPr>
        <w:t>123</w:t>
      </w:r>
      <w:r w:rsidRPr="00B54316">
        <w:rPr>
          <w:noProof/>
        </w:rPr>
        <w:t>, 126202, doi:10.1016/j.eja.2020.126202.</w:t>
      </w:r>
    </w:p>
    <w:p w14:paraId="7EDEEC4A" w14:textId="77777777" w:rsidR="00B54316" w:rsidRPr="00B54316" w:rsidRDefault="00B54316" w:rsidP="00B54316">
      <w:pPr>
        <w:pStyle w:val="MDPI71References"/>
        <w:rPr>
          <w:noProof/>
        </w:rPr>
      </w:pPr>
      <w:r w:rsidRPr="00B54316">
        <w:rPr>
          <w:noProof/>
        </w:rPr>
        <w:t xml:space="preserve">Yao, B.; Wang, X.; Lemaire, G.; Makowski, D.; Cao, Q.; Liu, X.; Liu, L.; Liu, B.; Zhu, Y.; Cao, W.; et al. Uncertainty analysis of critical nitrogen dilution curves for wheat. </w:t>
      </w:r>
      <w:r w:rsidRPr="00B54316">
        <w:rPr>
          <w:i/>
          <w:noProof/>
        </w:rPr>
        <w:t xml:space="preserve">Eur. J. Agron. </w:t>
      </w:r>
      <w:r w:rsidRPr="00B54316">
        <w:rPr>
          <w:b/>
          <w:noProof/>
        </w:rPr>
        <w:t>2021</w:t>
      </w:r>
      <w:r w:rsidRPr="00B54316">
        <w:rPr>
          <w:noProof/>
        </w:rPr>
        <w:t xml:space="preserve">, </w:t>
      </w:r>
      <w:r w:rsidRPr="00B54316">
        <w:rPr>
          <w:i/>
          <w:noProof/>
        </w:rPr>
        <w:t>128</w:t>
      </w:r>
      <w:r w:rsidRPr="00B54316">
        <w:rPr>
          <w:noProof/>
        </w:rPr>
        <w:t>, 126315, doi:10.1016/j.eja.2021.126315.</w:t>
      </w:r>
    </w:p>
    <w:p w14:paraId="584B774D" w14:textId="77777777" w:rsidR="00B54316" w:rsidRPr="00B54316" w:rsidRDefault="00B54316" w:rsidP="00B54316">
      <w:pPr>
        <w:pStyle w:val="MDPI71References"/>
        <w:rPr>
          <w:noProof/>
        </w:rPr>
      </w:pPr>
      <w:r w:rsidRPr="00B54316">
        <w:rPr>
          <w:noProof/>
        </w:rPr>
        <w:t xml:space="preserve">Bohman, B.J.; Rosen, C.J.; Mulla, D.J. Relating nitrogen use efficiency to nitrogen nutrition index for evaluation of agronomic and environmental outcomes in potato. </w:t>
      </w:r>
      <w:r w:rsidRPr="00B54316">
        <w:rPr>
          <w:i/>
          <w:noProof/>
        </w:rPr>
        <w:t xml:space="preserve">Field Crops Res. </w:t>
      </w:r>
      <w:r w:rsidRPr="00B54316">
        <w:rPr>
          <w:b/>
          <w:noProof/>
        </w:rPr>
        <w:t>2021</w:t>
      </w:r>
      <w:r w:rsidRPr="00B54316">
        <w:rPr>
          <w:noProof/>
        </w:rPr>
        <w:t xml:space="preserve">, </w:t>
      </w:r>
      <w:r w:rsidRPr="00B54316">
        <w:rPr>
          <w:i/>
          <w:noProof/>
        </w:rPr>
        <w:t>262</w:t>
      </w:r>
      <w:r w:rsidRPr="00B54316">
        <w:rPr>
          <w:noProof/>
        </w:rPr>
        <w:t>, doi:10.1016/j.fcr.2020.108041.</w:t>
      </w:r>
    </w:p>
    <w:p w14:paraId="2E4C4290" w14:textId="77777777" w:rsidR="00B54316" w:rsidRPr="00B54316" w:rsidRDefault="00B54316" w:rsidP="00B54316">
      <w:pPr>
        <w:pStyle w:val="MDPI71References"/>
        <w:rPr>
          <w:noProof/>
        </w:rPr>
      </w:pPr>
      <w:r w:rsidRPr="00B54316">
        <w:rPr>
          <w:noProof/>
        </w:rPr>
        <w:t xml:space="preserve">Arguez, A.; Durre, I.; Applequist, S.; Squires, M.; Vose, R.; Yin, X.; Bilotta, R. </w:t>
      </w:r>
      <w:r w:rsidRPr="00B54316">
        <w:rPr>
          <w:i/>
          <w:noProof/>
        </w:rPr>
        <w:t>NOAA's U.S. Climate Normals (1981-2010)</w:t>
      </w:r>
      <w:r w:rsidRPr="00B54316">
        <w:rPr>
          <w:noProof/>
        </w:rPr>
        <w:t>; NOAA National Centers for Environmental Information: 24 November 2017 2010.</w:t>
      </w:r>
    </w:p>
    <w:p w14:paraId="7385FFBF" w14:textId="77777777" w:rsidR="00B54316" w:rsidRPr="00B54316" w:rsidRDefault="00B54316" w:rsidP="00B54316">
      <w:pPr>
        <w:pStyle w:val="MDPI71References"/>
        <w:rPr>
          <w:noProof/>
        </w:rPr>
      </w:pPr>
      <w:r w:rsidRPr="00B54316">
        <w:rPr>
          <w:noProof/>
        </w:rPr>
        <w:t xml:space="preserve">Hansen, B.; Giencke, A.G. </w:t>
      </w:r>
      <w:r w:rsidRPr="00B54316">
        <w:rPr>
          <w:i/>
          <w:noProof/>
        </w:rPr>
        <w:t>Sand Plains Research Farm Soil Report</w:t>
      </w:r>
      <w:r w:rsidRPr="00B54316">
        <w:rPr>
          <w:noProof/>
        </w:rPr>
        <w:t>; University of Minnesota: St. Paul, MN, 1988.</w:t>
      </w:r>
    </w:p>
    <w:p w14:paraId="2A2E1F5D" w14:textId="77777777" w:rsidR="00B54316" w:rsidRPr="00B54316" w:rsidRDefault="00B54316" w:rsidP="00B54316">
      <w:pPr>
        <w:pStyle w:val="MDPI71References"/>
        <w:rPr>
          <w:noProof/>
        </w:rPr>
      </w:pPr>
      <w:r w:rsidRPr="00B54316">
        <w:rPr>
          <w:noProof/>
        </w:rPr>
        <w:t xml:space="preserve">USDA NRCS. </w:t>
      </w:r>
      <w:r w:rsidRPr="00B54316">
        <w:rPr>
          <w:i/>
          <w:noProof/>
        </w:rPr>
        <w:t>Soil Series Classification Database – Hubbard Series</w:t>
      </w:r>
      <w:r w:rsidRPr="00B54316">
        <w:rPr>
          <w:noProof/>
        </w:rPr>
        <w:t>; United States Department of Agriculture: 24 November 2017 2013.</w:t>
      </w:r>
    </w:p>
    <w:p w14:paraId="35AA7785" w14:textId="77777777" w:rsidR="00B54316" w:rsidRPr="00B54316" w:rsidRDefault="00B54316" w:rsidP="00B54316">
      <w:pPr>
        <w:pStyle w:val="MDPI71References"/>
        <w:rPr>
          <w:noProof/>
        </w:rPr>
      </w:pPr>
      <w:r w:rsidRPr="00B54316">
        <w:rPr>
          <w:noProof/>
        </w:rPr>
        <w:t xml:space="preserve">Egel, D.S. </w:t>
      </w:r>
      <w:r w:rsidRPr="00B54316">
        <w:rPr>
          <w:i/>
          <w:noProof/>
        </w:rPr>
        <w:t>Midwest Vegetable Production Guide for Commercial Growers</w:t>
      </w:r>
      <w:r w:rsidRPr="00B54316">
        <w:rPr>
          <w:noProof/>
        </w:rPr>
        <w:t>; University of Minnesota Extension: 2017.</w:t>
      </w:r>
    </w:p>
    <w:p w14:paraId="7BF28E29" w14:textId="77777777" w:rsidR="00B54316" w:rsidRPr="00B54316" w:rsidRDefault="00B54316" w:rsidP="00B54316">
      <w:pPr>
        <w:pStyle w:val="MDPI71References"/>
        <w:rPr>
          <w:noProof/>
        </w:rPr>
      </w:pPr>
      <w:r w:rsidRPr="00B54316">
        <w:rPr>
          <w:noProof/>
        </w:rPr>
        <w:t xml:space="preserve">Franzen, D.; Robinson, A.; Rosen, C. </w:t>
      </w:r>
      <w:r w:rsidRPr="00B54316">
        <w:rPr>
          <w:i/>
          <w:noProof/>
        </w:rPr>
        <w:t>Fertilizing Potato in North Dakota</w:t>
      </w:r>
      <w:r w:rsidRPr="00B54316">
        <w:rPr>
          <w:noProof/>
        </w:rPr>
        <w:t>; North Dakota State University: Fargo, ND, 2018.</w:t>
      </w:r>
    </w:p>
    <w:p w14:paraId="1DD34AF4" w14:textId="77777777" w:rsidR="00B54316" w:rsidRPr="00B54316" w:rsidRDefault="00B54316" w:rsidP="00B54316">
      <w:pPr>
        <w:pStyle w:val="MDPI71References"/>
        <w:rPr>
          <w:noProof/>
        </w:rPr>
      </w:pPr>
      <w:r w:rsidRPr="00B54316">
        <w:rPr>
          <w:noProof/>
        </w:rPr>
        <w:t xml:space="preserve">Rosen, C.J. </w:t>
      </w:r>
      <w:r w:rsidRPr="00B54316">
        <w:rPr>
          <w:i/>
          <w:noProof/>
        </w:rPr>
        <w:t>Potato fertilization on irrigated soils</w:t>
      </w:r>
      <w:r w:rsidRPr="00B54316">
        <w:rPr>
          <w:noProof/>
        </w:rPr>
        <w:t>; University of Minnesota Extension: 2018.</w:t>
      </w:r>
    </w:p>
    <w:p w14:paraId="239C1394" w14:textId="77777777" w:rsidR="00B54316" w:rsidRPr="00B54316" w:rsidRDefault="00B54316" w:rsidP="00B54316">
      <w:pPr>
        <w:pStyle w:val="MDPI71References"/>
        <w:rPr>
          <w:noProof/>
        </w:rPr>
      </w:pPr>
      <w:r w:rsidRPr="00B54316">
        <w:rPr>
          <w:noProof/>
        </w:rPr>
        <w:t xml:space="preserve">Steele, D.D.; Scherer, T.F.; Wright, J.; Hopkins, D.G.; Tuscherer, S.R.; Wright, J. Spreadsheet Implementation of Irrigation Scheduling by the Checkbook Method for North Dakota and Minnesota. </w:t>
      </w:r>
      <w:r w:rsidRPr="00B54316">
        <w:rPr>
          <w:i/>
          <w:noProof/>
        </w:rPr>
        <w:t xml:space="preserve">Appl. Eng. Agric. </w:t>
      </w:r>
      <w:r w:rsidRPr="00B54316">
        <w:rPr>
          <w:b/>
          <w:noProof/>
        </w:rPr>
        <w:t>2010</w:t>
      </w:r>
      <w:r w:rsidRPr="00B54316">
        <w:rPr>
          <w:noProof/>
        </w:rPr>
        <w:t xml:space="preserve">, </w:t>
      </w:r>
      <w:r w:rsidRPr="00B54316">
        <w:rPr>
          <w:i/>
          <w:noProof/>
        </w:rPr>
        <w:t>26</w:t>
      </w:r>
      <w:r w:rsidRPr="00B54316">
        <w:rPr>
          <w:noProof/>
        </w:rPr>
        <w:t>, 983-996, doi:10.13031/2013.35914.</w:t>
      </w:r>
    </w:p>
    <w:p w14:paraId="04FE130E" w14:textId="77777777" w:rsidR="00B54316" w:rsidRPr="00B54316" w:rsidRDefault="00B54316" w:rsidP="00B54316">
      <w:pPr>
        <w:pStyle w:val="MDPI71References"/>
        <w:rPr>
          <w:noProof/>
        </w:rPr>
      </w:pPr>
      <w:r w:rsidRPr="00B54316">
        <w:rPr>
          <w:noProof/>
        </w:rPr>
        <w:t xml:space="preserve">Wright, J. </w:t>
      </w:r>
      <w:r w:rsidRPr="00B54316">
        <w:rPr>
          <w:i/>
          <w:noProof/>
        </w:rPr>
        <w:t>Irrigation Scheduling Checkbook Method</w:t>
      </w:r>
      <w:r w:rsidRPr="00B54316">
        <w:rPr>
          <w:noProof/>
        </w:rPr>
        <w:t>; University of Minnesota: St. Paul, MN, 2002.</w:t>
      </w:r>
    </w:p>
    <w:p w14:paraId="3D5F6B89" w14:textId="77777777" w:rsidR="00B54316" w:rsidRPr="00B54316" w:rsidRDefault="00B54316" w:rsidP="00B54316">
      <w:pPr>
        <w:pStyle w:val="MDPI71References"/>
        <w:rPr>
          <w:noProof/>
        </w:rPr>
      </w:pPr>
      <w:r w:rsidRPr="00B54316">
        <w:rPr>
          <w:noProof/>
        </w:rPr>
        <w:lastRenderedPageBreak/>
        <w:t xml:space="preserve">Errebhi, M.; Rosen, C.J.; Gupta, S.C.; Birong, D.E. Potato Yield Response and Nitrate Leaching as Influenced by Nitrogen Management. </w:t>
      </w:r>
      <w:r w:rsidRPr="00B54316">
        <w:rPr>
          <w:i/>
          <w:noProof/>
        </w:rPr>
        <w:t xml:space="preserve">Agron. J. </w:t>
      </w:r>
      <w:r w:rsidRPr="00B54316">
        <w:rPr>
          <w:b/>
          <w:noProof/>
        </w:rPr>
        <w:t>1998</w:t>
      </w:r>
      <w:r w:rsidRPr="00B54316">
        <w:rPr>
          <w:noProof/>
        </w:rPr>
        <w:t xml:space="preserve">, </w:t>
      </w:r>
      <w:r w:rsidRPr="00B54316">
        <w:rPr>
          <w:i/>
          <w:noProof/>
        </w:rPr>
        <w:t>90</w:t>
      </w:r>
      <w:r w:rsidRPr="00B54316">
        <w:rPr>
          <w:noProof/>
        </w:rPr>
        <w:t>, 10-15, doi:10.2134/agronj1998.00021962009000010003x.</w:t>
      </w:r>
    </w:p>
    <w:p w14:paraId="7FC36B44" w14:textId="77777777" w:rsidR="00B54316" w:rsidRPr="00B54316" w:rsidRDefault="00B54316" w:rsidP="00B54316">
      <w:pPr>
        <w:pStyle w:val="MDPI71References"/>
        <w:rPr>
          <w:noProof/>
        </w:rPr>
      </w:pPr>
      <w:r w:rsidRPr="00B54316">
        <w:rPr>
          <w:noProof/>
        </w:rPr>
        <w:t xml:space="preserve">Rosen, C.; Birong, D.; Zumwinkle, M. </w:t>
      </w:r>
      <w:r w:rsidRPr="00B54316">
        <w:rPr>
          <w:i/>
          <w:noProof/>
        </w:rPr>
        <w:t>Nitrogen Fertilization Studies on Irrigated Potatoes: Nitrogen Use, Soil Nitrate Movement, and Petiole Sap Nitrate Analysis for Predicting Nitrogen Needs</w:t>
      </w:r>
      <w:r w:rsidRPr="00B54316">
        <w:rPr>
          <w:noProof/>
        </w:rPr>
        <w:t>; University of Minnesota: St. Paul, MN, 1992; pp. 27–47.</w:t>
      </w:r>
    </w:p>
    <w:p w14:paraId="08924479" w14:textId="77777777" w:rsidR="00B54316" w:rsidRPr="00B54316" w:rsidRDefault="00B54316" w:rsidP="00B54316">
      <w:pPr>
        <w:pStyle w:val="MDPI71References"/>
        <w:rPr>
          <w:noProof/>
        </w:rPr>
      </w:pPr>
      <w:r w:rsidRPr="00B54316">
        <w:rPr>
          <w:noProof/>
        </w:rPr>
        <w:t xml:space="preserve">Rosen, C.; Errebhi, M.; Moncrief, J.; Gupta, S.; Cheng, H.H.; Birong, D. </w:t>
      </w:r>
      <w:r w:rsidRPr="00B54316">
        <w:rPr>
          <w:i/>
          <w:noProof/>
        </w:rPr>
        <w:t>Nitrogen Fertilization Studies on Irrigated Potatoes: Nitrogen Use, Soil Nitrate Movement, and Petiole Sap Nitrate Analysis for Predicting Nitrogen Needs</w:t>
      </w:r>
      <w:r w:rsidRPr="00B54316">
        <w:rPr>
          <w:noProof/>
        </w:rPr>
        <w:t>; University of Minnesota: St. Paul, MN, 1993; pp. 14–33.</w:t>
      </w:r>
    </w:p>
    <w:p w14:paraId="6C601FD1" w14:textId="77777777" w:rsidR="00B54316" w:rsidRPr="00B54316" w:rsidRDefault="00B54316" w:rsidP="00B54316">
      <w:pPr>
        <w:pStyle w:val="MDPI71References"/>
        <w:rPr>
          <w:noProof/>
        </w:rPr>
      </w:pPr>
      <w:r w:rsidRPr="00B54316">
        <w:rPr>
          <w:noProof/>
        </w:rPr>
        <w:t>Sun, N. Agronomic and Storage Factors Affecting Acrylamide Formation in Processed Potatoes. University of Minnesota, St. Paul, MN, 2017.</w:t>
      </w:r>
    </w:p>
    <w:p w14:paraId="44F86C64" w14:textId="77777777" w:rsidR="00B54316" w:rsidRPr="00B54316" w:rsidRDefault="00B54316" w:rsidP="00B54316">
      <w:pPr>
        <w:pStyle w:val="MDPI71References"/>
        <w:rPr>
          <w:noProof/>
        </w:rPr>
      </w:pPr>
      <w:r w:rsidRPr="00B54316">
        <w:rPr>
          <w:noProof/>
        </w:rPr>
        <w:t xml:space="preserve">Sun, N.; Wang, Y.; Gupta, S.K.; Rosen, C.J. Nitrogen Fertility and Cultivar Effects on Potato Agronomic Properties and Acrylamide-forming Potential. </w:t>
      </w:r>
      <w:r w:rsidRPr="00B54316">
        <w:rPr>
          <w:i/>
          <w:noProof/>
        </w:rPr>
        <w:t xml:space="preserve">Agron. J. </w:t>
      </w:r>
      <w:r w:rsidRPr="00B54316">
        <w:rPr>
          <w:b/>
          <w:noProof/>
        </w:rPr>
        <w:t>2019</w:t>
      </w:r>
      <w:r w:rsidRPr="00B54316">
        <w:rPr>
          <w:noProof/>
        </w:rPr>
        <w:t xml:space="preserve">, </w:t>
      </w:r>
      <w:r w:rsidRPr="00B54316">
        <w:rPr>
          <w:i/>
          <w:noProof/>
        </w:rPr>
        <w:t>111</w:t>
      </w:r>
      <w:r w:rsidRPr="00B54316">
        <w:rPr>
          <w:noProof/>
        </w:rPr>
        <w:t>, 408, doi:10.2134/agronj2018.05.0350.</w:t>
      </w:r>
    </w:p>
    <w:p w14:paraId="758D8D58" w14:textId="77777777" w:rsidR="00B54316" w:rsidRPr="00B54316" w:rsidRDefault="00B54316" w:rsidP="00B54316">
      <w:pPr>
        <w:pStyle w:val="MDPI71References"/>
        <w:rPr>
          <w:noProof/>
        </w:rPr>
      </w:pPr>
      <w:r w:rsidRPr="00B54316">
        <w:rPr>
          <w:noProof/>
        </w:rPr>
        <w:t xml:space="preserve">Crants, J.; Rosen, C.; McNearney, M.; Sun, L. </w:t>
      </w:r>
      <w:r w:rsidRPr="00B54316">
        <w:rPr>
          <w:i/>
          <w:noProof/>
        </w:rPr>
        <w:t>The Use of Chlorophyll Meters for Nitrogen Management in Potatoes</w:t>
      </w:r>
      <w:r w:rsidRPr="00B54316">
        <w:rPr>
          <w:noProof/>
        </w:rPr>
        <w:t>; Minnesota Area II Potato Research and Promotion Council and Northern Plains Potato Growers Association: Fargo, ND, 2017.</w:t>
      </w:r>
    </w:p>
    <w:p w14:paraId="579D272D" w14:textId="77777777" w:rsidR="00B54316" w:rsidRPr="00B54316" w:rsidRDefault="00B54316" w:rsidP="00B54316">
      <w:pPr>
        <w:pStyle w:val="MDPI71References"/>
        <w:rPr>
          <w:noProof/>
        </w:rPr>
      </w:pPr>
      <w:r w:rsidRPr="00B54316">
        <w:rPr>
          <w:noProof/>
        </w:rPr>
        <w:t xml:space="preserve">Gupta, S.; Rosen, C.J. </w:t>
      </w:r>
      <w:r w:rsidRPr="00B54316">
        <w:rPr>
          <w:i/>
          <w:noProof/>
        </w:rPr>
        <w:t>Nitrogen fertilization rate and cold-induced sweetening in potato tubers during storage</w:t>
      </w:r>
      <w:r w:rsidRPr="00B54316">
        <w:rPr>
          <w:noProof/>
        </w:rPr>
        <w:t>; Minnesota Area II Potato Research and Promotion Council and Northern Plains Potato Growers Association: Fargo, ND, 2019.</w:t>
      </w:r>
    </w:p>
    <w:p w14:paraId="30D922CC" w14:textId="77777777" w:rsidR="00B54316" w:rsidRPr="00B54316" w:rsidRDefault="00B54316" w:rsidP="00B54316">
      <w:pPr>
        <w:pStyle w:val="MDPI71References"/>
        <w:rPr>
          <w:noProof/>
        </w:rPr>
      </w:pPr>
      <w:r w:rsidRPr="00B54316">
        <w:rPr>
          <w:noProof/>
        </w:rPr>
        <w:t xml:space="preserve">Gupta, S.K.; Crants, J.; McNearney, M.; Rosen, C.J. </w:t>
      </w:r>
      <w:r w:rsidRPr="00B54316">
        <w:rPr>
          <w:i/>
          <w:noProof/>
        </w:rPr>
        <w:t>Evaluation of a Promising Minnesota Clone for N Response, Agronomic Traits &amp; Storage Quality</w:t>
      </w:r>
      <w:r w:rsidRPr="00B54316">
        <w:rPr>
          <w:noProof/>
        </w:rPr>
        <w:t>; Minnesota Area II Potato Research and Promotion Council and Northern Plains Potato Growers Association: Fargo, ND, 2020.</w:t>
      </w:r>
    </w:p>
    <w:p w14:paraId="19D25918" w14:textId="77777777" w:rsidR="00B54316" w:rsidRPr="00B54316" w:rsidRDefault="00B54316" w:rsidP="00B54316">
      <w:pPr>
        <w:pStyle w:val="MDPI71References"/>
        <w:rPr>
          <w:noProof/>
        </w:rPr>
      </w:pPr>
      <w:r w:rsidRPr="00B54316">
        <w:rPr>
          <w:noProof/>
        </w:rPr>
        <w:t xml:space="preserve">Bohman, B.; McNearney, M.; Crants, J.; Rosen, C. </w:t>
      </w:r>
      <w:r w:rsidRPr="00B54316">
        <w:rPr>
          <w:i/>
          <w:noProof/>
        </w:rPr>
        <w:t>A Novel Approach to Manage Nitrogen Fertilizer for Potato Production Using Remote Sensing</w:t>
      </w:r>
      <w:r w:rsidRPr="00B54316">
        <w:rPr>
          <w:noProof/>
        </w:rPr>
        <w:t>; Minnesota Area II Potato Research and Promotion Council and Northern Plains Potato Growers Association: Fargo, ND, 2020.</w:t>
      </w:r>
    </w:p>
    <w:p w14:paraId="172B748A" w14:textId="77777777" w:rsidR="00B54316" w:rsidRPr="00B54316" w:rsidRDefault="00B54316" w:rsidP="00B54316">
      <w:pPr>
        <w:pStyle w:val="MDPI71References"/>
        <w:rPr>
          <w:noProof/>
        </w:rPr>
      </w:pPr>
      <w:r w:rsidRPr="00B54316">
        <w:rPr>
          <w:noProof/>
        </w:rPr>
        <w:t xml:space="preserve">Rosen, C.; Crants, J.; Bohman, B.; McNearney, M. </w:t>
      </w:r>
      <w:r w:rsidRPr="00B54316">
        <w:rPr>
          <w:i/>
          <w:noProof/>
        </w:rPr>
        <w:t>Effects of banded versus broadcast application of ESN, turkey manure, and different approaches to measuring plant N status on tuber yield and quality in Russet Burbank potatoes</w:t>
      </w:r>
      <w:r w:rsidRPr="00B54316">
        <w:rPr>
          <w:noProof/>
        </w:rPr>
        <w:t>; Minnesota Area II Potato Research and Promotion Council and Northern Plains Potato Growers Association: Fargo, ND, 2021.</w:t>
      </w:r>
    </w:p>
    <w:p w14:paraId="3B9AACC9" w14:textId="77777777" w:rsidR="00B54316" w:rsidRPr="00B54316" w:rsidRDefault="00B54316" w:rsidP="00B54316">
      <w:pPr>
        <w:pStyle w:val="MDPI71References"/>
        <w:rPr>
          <w:noProof/>
        </w:rPr>
      </w:pPr>
      <w:r w:rsidRPr="00B54316">
        <w:rPr>
          <w:noProof/>
        </w:rPr>
        <w:t xml:space="preserve">USDA. </w:t>
      </w:r>
      <w:r w:rsidRPr="00B54316">
        <w:rPr>
          <w:i/>
          <w:noProof/>
        </w:rPr>
        <w:t>United States Standards for Grades of Potatoes for Processing</w:t>
      </w:r>
      <w:r w:rsidRPr="00B54316">
        <w:rPr>
          <w:noProof/>
        </w:rPr>
        <w:t>; 1997.</w:t>
      </w:r>
    </w:p>
    <w:p w14:paraId="152E2704" w14:textId="77777777" w:rsidR="00B54316" w:rsidRPr="00B54316" w:rsidRDefault="00B54316" w:rsidP="00B54316">
      <w:pPr>
        <w:pStyle w:val="MDPI71References"/>
        <w:rPr>
          <w:noProof/>
        </w:rPr>
      </w:pPr>
      <w:r w:rsidRPr="00B54316">
        <w:rPr>
          <w:noProof/>
        </w:rPr>
        <w:t xml:space="preserve">Horneck, D.A.; Miller, R.O. Determination of total nitrogen in plant tissue. In </w:t>
      </w:r>
      <w:r w:rsidRPr="00B54316">
        <w:rPr>
          <w:i/>
          <w:noProof/>
        </w:rPr>
        <w:t>Handbook of reference methods for plant analysis</w:t>
      </w:r>
      <w:r w:rsidRPr="00B54316">
        <w:rPr>
          <w:noProof/>
        </w:rPr>
        <w:t>, Kalra, Y.P., Ed.; CRC Press: Boston, 1998; pp. 75-84.</w:t>
      </w:r>
    </w:p>
    <w:p w14:paraId="1BEE3ABA" w14:textId="77777777" w:rsidR="00B54316" w:rsidRPr="00B54316" w:rsidRDefault="00B54316" w:rsidP="00B54316">
      <w:pPr>
        <w:pStyle w:val="MDPI71References"/>
        <w:rPr>
          <w:noProof/>
        </w:rPr>
      </w:pPr>
      <w:r w:rsidRPr="00B54316">
        <w:rPr>
          <w:noProof/>
        </w:rPr>
        <w:t xml:space="preserve">Horwitz, W.; Chichilo, P.; Reynolds, H. </w:t>
      </w:r>
      <w:r w:rsidRPr="00B54316">
        <w:rPr>
          <w:i/>
          <w:noProof/>
        </w:rPr>
        <w:t>Official methods of analysis of the Association of Official Analytical Chemists.</w:t>
      </w:r>
      <w:r w:rsidRPr="00B54316">
        <w:rPr>
          <w:noProof/>
        </w:rPr>
        <w:t>, 11th ed.; Association of Official Analytical Chemists.: Washington, DC, 1970.</w:t>
      </w:r>
    </w:p>
    <w:p w14:paraId="13F7B02C" w14:textId="77777777" w:rsidR="00B54316" w:rsidRPr="00B54316" w:rsidRDefault="00B54316" w:rsidP="00B54316">
      <w:pPr>
        <w:pStyle w:val="MDPI71References"/>
        <w:rPr>
          <w:noProof/>
        </w:rPr>
      </w:pPr>
      <w:r w:rsidRPr="00B54316">
        <w:rPr>
          <w:noProof/>
        </w:rPr>
        <w:t xml:space="preserve">Bélanger, G.; Walsh, J.R.; Richards, J.E.; Milburn, P.H.; Ziadi, N. Yield response of two potato culivars to supplemental irrigation and N fertilization in New Brunswick. </w:t>
      </w:r>
      <w:r w:rsidRPr="00B54316">
        <w:rPr>
          <w:i/>
          <w:noProof/>
        </w:rPr>
        <w:t xml:space="preserve">Am. J. Potato Res. </w:t>
      </w:r>
      <w:r w:rsidRPr="00B54316">
        <w:rPr>
          <w:b/>
          <w:noProof/>
        </w:rPr>
        <w:t>2000</w:t>
      </w:r>
      <w:r w:rsidRPr="00B54316">
        <w:rPr>
          <w:noProof/>
        </w:rPr>
        <w:t xml:space="preserve">, </w:t>
      </w:r>
      <w:r w:rsidRPr="00B54316">
        <w:rPr>
          <w:i/>
          <w:noProof/>
        </w:rPr>
        <w:t>77</w:t>
      </w:r>
      <w:r w:rsidRPr="00B54316">
        <w:rPr>
          <w:noProof/>
        </w:rPr>
        <w:t>, 11-21, doi:10.1007/BF02853657.</w:t>
      </w:r>
    </w:p>
    <w:p w14:paraId="744279DC" w14:textId="77777777" w:rsidR="00B54316" w:rsidRPr="00B54316" w:rsidRDefault="00B54316" w:rsidP="00B54316">
      <w:pPr>
        <w:pStyle w:val="MDPI71References"/>
        <w:rPr>
          <w:noProof/>
        </w:rPr>
      </w:pPr>
      <w:r w:rsidRPr="00B54316">
        <w:rPr>
          <w:noProof/>
        </w:rPr>
        <w:t xml:space="preserve">Bélanger, G.; Walsh, J.R.; Richards, J.E.; Milburn, P.H.; Ziadi, N. Tuber growth and biomass partitioning of two potato cultivars grown under different N fertilization rates with and without irrigation. </w:t>
      </w:r>
      <w:r w:rsidRPr="00B54316">
        <w:rPr>
          <w:i/>
          <w:noProof/>
        </w:rPr>
        <w:t xml:space="preserve">Am. J. Potato Res. </w:t>
      </w:r>
      <w:r w:rsidRPr="00B54316">
        <w:rPr>
          <w:b/>
          <w:noProof/>
        </w:rPr>
        <w:t>2001</w:t>
      </w:r>
      <w:r w:rsidRPr="00B54316">
        <w:rPr>
          <w:noProof/>
        </w:rPr>
        <w:t xml:space="preserve">, </w:t>
      </w:r>
      <w:r w:rsidRPr="00B54316">
        <w:rPr>
          <w:i/>
          <w:noProof/>
        </w:rPr>
        <w:t>78</w:t>
      </w:r>
      <w:r w:rsidRPr="00B54316">
        <w:rPr>
          <w:noProof/>
        </w:rPr>
        <w:t>, 109-117, doi:10.1007/BF02874766.</w:t>
      </w:r>
    </w:p>
    <w:p w14:paraId="6EEA0414" w14:textId="77777777" w:rsidR="00B54316" w:rsidRPr="00B54316" w:rsidRDefault="00B54316" w:rsidP="00B54316">
      <w:pPr>
        <w:pStyle w:val="MDPI71References"/>
        <w:rPr>
          <w:noProof/>
        </w:rPr>
      </w:pPr>
      <w:r w:rsidRPr="00B54316">
        <w:rPr>
          <w:noProof/>
        </w:rPr>
        <w:t xml:space="preserve">R Core Team </w:t>
      </w:r>
      <w:r w:rsidRPr="00B54316">
        <w:rPr>
          <w:i/>
          <w:noProof/>
        </w:rPr>
        <w:t>R: A language and environment for statistical computing.</w:t>
      </w:r>
      <w:r w:rsidRPr="00B54316">
        <w:rPr>
          <w:noProof/>
        </w:rPr>
        <w:t>, R Foundation for Statistical Computing: Vienna, Austria, 2021.</w:t>
      </w:r>
    </w:p>
    <w:p w14:paraId="58C9E8E9" w14:textId="77777777" w:rsidR="00B54316" w:rsidRPr="00B54316" w:rsidRDefault="00B54316" w:rsidP="00B54316">
      <w:pPr>
        <w:pStyle w:val="MDPI71References"/>
        <w:rPr>
          <w:noProof/>
        </w:rPr>
      </w:pPr>
      <w:r w:rsidRPr="00B54316">
        <w:rPr>
          <w:noProof/>
        </w:rPr>
        <w:t xml:space="preserve">Bürkner, P.-C. brms: An R Package for Bayesian Multilevel Models Using Stan. </w:t>
      </w:r>
      <w:r w:rsidRPr="00B54316">
        <w:rPr>
          <w:i/>
          <w:noProof/>
        </w:rPr>
        <w:t xml:space="preserve">J. Stat. Softw. </w:t>
      </w:r>
      <w:r w:rsidRPr="00B54316">
        <w:rPr>
          <w:b/>
          <w:noProof/>
        </w:rPr>
        <w:t>2017</w:t>
      </w:r>
      <w:r w:rsidRPr="00B54316">
        <w:rPr>
          <w:noProof/>
        </w:rPr>
        <w:t xml:space="preserve">, </w:t>
      </w:r>
      <w:r w:rsidRPr="00B54316">
        <w:rPr>
          <w:i/>
          <w:noProof/>
        </w:rPr>
        <w:t>80</w:t>
      </w:r>
      <w:r w:rsidRPr="00B54316">
        <w:rPr>
          <w:noProof/>
        </w:rPr>
        <w:t>, doi:10.18637/jss.v080.i01.</w:t>
      </w:r>
    </w:p>
    <w:p w14:paraId="7423E2E7" w14:textId="77777777" w:rsidR="00B54316" w:rsidRPr="00B54316" w:rsidRDefault="00B54316" w:rsidP="00B54316">
      <w:pPr>
        <w:pStyle w:val="MDPI71References"/>
        <w:rPr>
          <w:noProof/>
        </w:rPr>
      </w:pPr>
      <w:r w:rsidRPr="00B54316">
        <w:rPr>
          <w:noProof/>
        </w:rPr>
        <w:t xml:space="preserve">Bürkner, P.-C. Advanced Bayesian Multilevel Modeling with the R Package brms. </w:t>
      </w:r>
      <w:r w:rsidRPr="00B54316">
        <w:rPr>
          <w:i/>
          <w:noProof/>
        </w:rPr>
        <w:t xml:space="preserve">R J. </w:t>
      </w:r>
      <w:r w:rsidRPr="00B54316">
        <w:rPr>
          <w:b/>
          <w:noProof/>
        </w:rPr>
        <w:t>2018</w:t>
      </w:r>
      <w:r w:rsidRPr="00B54316">
        <w:rPr>
          <w:noProof/>
        </w:rPr>
        <w:t xml:space="preserve">, </w:t>
      </w:r>
      <w:r w:rsidRPr="00B54316">
        <w:rPr>
          <w:i/>
          <w:noProof/>
        </w:rPr>
        <w:t>10</w:t>
      </w:r>
      <w:r w:rsidRPr="00B54316">
        <w:rPr>
          <w:noProof/>
        </w:rPr>
        <w:t>, 395-411, doi:10.32614/RJ-2018-017.</w:t>
      </w:r>
    </w:p>
    <w:p w14:paraId="7FBF3892" w14:textId="77777777" w:rsidR="00B54316" w:rsidRPr="00B54316" w:rsidRDefault="00B54316" w:rsidP="00B54316">
      <w:pPr>
        <w:pStyle w:val="MDPI71References"/>
        <w:rPr>
          <w:noProof/>
        </w:rPr>
      </w:pPr>
      <w:r w:rsidRPr="00B54316">
        <w:rPr>
          <w:noProof/>
        </w:rPr>
        <w:t xml:space="preserve">Carpenter, B.; Gelman, A.; Hoffman, M.D.; Lee, D.; Goodrich, B.; Betancourt, M.; Brubaker, M.; Guo, J.; Li, P.; Riddell, A. Stan: A Probabilistic Programming Language. </w:t>
      </w:r>
      <w:r w:rsidRPr="00B54316">
        <w:rPr>
          <w:i/>
          <w:noProof/>
        </w:rPr>
        <w:t xml:space="preserve">J. Stat. Softw. </w:t>
      </w:r>
      <w:r w:rsidRPr="00B54316">
        <w:rPr>
          <w:b/>
          <w:noProof/>
        </w:rPr>
        <w:t>2017</w:t>
      </w:r>
      <w:r w:rsidRPr="00B54316">
        <w:rPr>
          <w:noProof/>
        </w:rPr>
        <w:t xml:space="preserve">, </w:t>
      </w:r>
      <w:r w:rsidRPr="00B54316">
        <w:rPr>
          <w:i/>
          <w:noProof/>
        </w:rPr>
        <w:t>76</w:t>
      </w:r>
      <w:r w:rsidRPr="00B54316">
        <w:rPr>
          <w:noProof/>
        </w:rPr>
        <w:t>, doi:10.18637/jss.v076.i01.</w:t>
      </w:r>
    </w:p>
    <w:p w14:paraId="6EEC59E6" w14:textId="77777777" w:rsidR="00B54316" w:rsidRPr="00B54316" w:rsidRDefault="00B54316" w:rsidP="00B54316">
      <w:pPr>
        <w:pStyle w:val="MDPI71References"/>
        <w:rPr>
          <w:noProof/>
        </w:rPr>
      </w:pPr>
      <w:r w:rsidRPr="00B54316">
        <w:rPr>
          <w:noProof/>
        </w:rPr>
        <w:t xml:space="preserve">McElreath, R. </w:t>
      </w:r>
      <w:r w:rsidRPr="00B54316">
        <w:rPr>
          <w:i/>
          <w:noProof/>
        </w:rPr>
        <w:t>Staistical Rethinking: A Bayesian Course with Examples in R and Stan</w:t>
      </w:r>
      <w:r w:rsidRPr="00B54316">
        <w:rPr>
          <w:noProof/>
        </w:rPr>
        <w:t>, 2nd ed.; Chapman and Hall/CRC: Boca Raton, 2020.</w:t>
      </w:r>
    </w:p>
    <w:p w14:paraId="010E9A9C" w14:textId="77777777" w:rsidR="00B54316" w:rsidRPr="00B54316" w:rsidRDefault="00B54316" w:rsidP="00B54316">
      <w:pPr>
        <w:pStyle w:val="MDPI71References"/>
        <w:rPr>
          <w:noProof/>
        </w:rPr>
      </w:pPr>
      <w:r w:rsidRPr="00B54316">
        <w:rPr>
          <w:noProof/>
        </w:rPr>
        <w:t xml:space="preserve">Plummer, M. </w:t>
      </w:r>
      <w:r w:rsidRPr="00B54316">
        <w:rPr>
          <w:i/>
          <w:noProof/>
        </w:rPr>
        <w:t>rjags: Bayesian Graphical Models using MCMC</w:t>
      </w:r>
      <w:r w:rsidRPr="00B54316">
        <w:rPr>
          <w:noProof/>
        </w:rPr>
        <w:t>, 2019.</w:t>
      </w:r>
    </w:p>
    <w:p w14:paraId="54CD2BC9" w14:textId="77777777" w:rsidR="00B54316" w:rsidRPr="00B54316" w:rsidRDefault="00B54316" w:rsidP="00B54316">
      <w:pPr>
        <w:pStyle w:val="MDPI71References"/>
        <w:rPr>
          <w:noProof/>
        </w:rPr>
      </w:pPr>
      <w:r w:rsidRPr="00B54316">
        <w:rPr>
          <w:noProof/>
        </w:rPr>
        <w:t xml:space="preserve">Plummer, M. </w:t>
      </w:r>
      <w:r w:rsidRPr="00B54316">
        <w:rPr>
          <w:i/>
          <w:noProof/>
        </w:rPr>
        <w:t>JAGS: Just Another Gibs Sampler.</w:t>
      </w:r>
      <w:r w:rsidRPr="00B54316">
        <w:rPr>
          <w:noProof/>
        </w:rPr>
        <w:t>, 2013.</w:t>
      </w:r>
    </w:p>
    <w:p w14:paraId="171F901D" w14:textId="77777777" w:rsidR="00B54316" w:rsidRPr="00B54316" w:rsidRDefault="00B54316" w:rsidP="00B54316">
      <w:pPr>
        <w:pStyle w:val="MDPI71References"/>
        <w:rPr>
          <w:noProof/>
        </w:rPr>
      </w:pPr>
      <w:r w:rsidRPr="00B54316">
        <w:rPr>
          <w:noProof/>
        </w:rPr>
        <w:t xml:space="preserve">Schad, D.J.; Betancourt, M.; Vasishth, S. Toward a principled Bayesian workflow in cognitive science. </w:t>
      </w:r>
      <w:r w:rsidRPr="00B54316">
        <w:rPr>
          <w:i/>
          <w:noProof/>
        </w:rPr>
        <w:t xml:space="preserve">Psychol Methods </w:t>
      </w:r>
      <w:r w:rsidRPr="00B54316">
        <w:rPr>
          <w:b/>
          <w:noProof/>
        </w:rPr>
        <w:t>2021</w:t>
      </w:r>
      <w:r w:rsidRPr="00B54316">
        <w:rPr>
          <w:noProof/>
        </w:rPr>
        <w:t xml:space="preserve">, </w:t>
      </w:r>
      <w:r w:rsidRPr="00B54316">
        <w:rPr>
          <w:i/>
          <w:noProof/>
        </w:rPr>
        <w:t>26</w:t>
      </w:r>
      <w:r w:rsidRPr="00B54316">
        <w:rPr>
          <w:noProof/>
        </w:rPr>
        <w:t>, 103-126, doi:10.1037/met0000275.</w:t>
      </w:r>
    </w:p>
    <w:p w14:paraId="5CD6DF7F" w14:textId="77777777" w:rsidR="00B54316" w:rsidRPr="00B54316" w:rsidRDefault="00B54316" w:rsidP="00B54316">
      <w:pPr>
        <w:pStyle w:val="MDPI71References"/>
        <w:rPr>
          <w:noProof/>
        </w:rPr>
      </w:pPr>
      <w:r w:rsidRPr="00B54316">
        <w:rPr>
          <w:noProof/>
        </w:rPr>
        <w:t xml:space="preserve">Ushey, K. </w:t>
      </w:r>
      <w:r w:rsidRPr="00B54316">
        <w:rPr>
          <w:i/>
          <w:noProof/>
        </w:rPr>
        <w:t>renv: Project Environments</w:t>
      </w:r>
      <w:r w:rsidRPr="00B54316">
        <w:rPr>
          <w:noProof/>
        </w:rPr>
        <w:t>, 2021.</w:t>
      </w:r>
    </w:p>
    <w:p w14:paraId="19D708C6" w14:textId="77777777" w:rsidR="00B54316" w:rsidRPr="00B54316" w:rsidRDefault="00B54316" w:rsidP="00B54316">
      <w:pPr>
        <w:pStyle w:val="MDPI71References"/>
        <w:rPr>
          <w:noProof/>
        </w:rPr>
      </w:pPr>
      <w:r w:rsidRPr="00B54316">
        <w:rPr>
          <w:noProof/>
        </w:rPr>
        <w:t xml:space="preserve">R Core Team </w:t>
      </w:r>
      <w:r w:rsidRPr="00B54316">
        <w:rPr>
          <w:i/>
          <w:noProof/>
        </w:rPr>
        <w:t>"stats": The R Stats Package</w:t>
      </w:r>
      <w:r w:rsidRPr="00B54316">
        <w:rPr>
          <w:noProof/>
        </w:rPr>
        <w:t>, 2021.</w:t>
      </w:r>
    </w:p>
    <w:p w14:paraId="28538748" w14:textId="3A48E71D" w:rsidR="006F6195" w:rsidRPr="004A0ED9" w:rsidRDefault="00565FBF" w:rsidP="00B54316">
      <w:pPr>
        <w:pStyle w:val="MDPI71References"/>
        <w:numPr>
          <w:ilvl w:val="0"/>
          <w:numId w:val="0"/>
        </w:numPr>
      </w:pPr>
      <w:r>
        <w:fldChar w:fldCharType="end"/>
      </w:r>
    </w:p>
    <w:sectPr w:rsidR="006F6195" w:rsidRPr="004A0ED9" w:rsidSect="001C0E58">
      <w:headerReference w:type="even" r:id="rId24"/>
      <w:headerReference w:type="default" r:id="rId25"/>
      <w:footerReference w:type="default" r:id="rId26"/>
      <w:headerReference w:type="first" r:id="rId27"/>
      <w:footerReference w:type="first" r:id="rId2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rian Bohman" w:date="2021-07-19T09:23:00Z" w:initials="BB">
    <w:p w14:paraId="71A9EB0F" w14:textId="3D736821" w:rsidR="0023464E" w:rsidRDefault="0023464E">
      <w:pPr>
        <w:pStyle w:val="CommentText"/>
      </w:pPr>
      <w:r>
        <w:rPr>
          <w:rStyle w:val="CommentReference"/>
        </w:rPr>
        <w:annotationRef/>
      </w:r>
      <w:r>
        <w:t xml:space="preserve">Carl: </w:t>
      </w:r>
      <w:r>
        <w:rPr>
          <w:rStyle w:val="CommentReference"/>
        </w:rPr>
        <w:annotationRef/>
      </w:r>
      <w:r>
        <w:t>Should this be part of the discussion?  Should we comment on the U.S. data – limiting vs nonlimiting?</w:t>
      </w:r>
    </w:p>
  </w:comment>
  <w:comment w:id="1" w:author="Brian Bohman" w:date="2021-07-19T09:23:00Z" w:initials="BB">
    <w:p w14:paraId="09A4DD3D" w14:textId="4D53965F" w:rsidR="0023464E" w:rsidRDefault="0023464E">
      <w:pPr>
        <w:pStyle w:val="CommentText"/>
      </w:pPr>
      <w:r>
        <w:rPr>
          <w:rStyle w:val="CommentReference"/>
        </w:rPr>
        <w:annotationRef/>
      </w:r>
      <w:r>
        <w:t xml:space="preserve">No, I think this should remain as Results because these three paragraphs are really just presenting the results (which are themselves a comparison to previous results). So while </w:t>
      </w:r>
      <w:r w:rsidR="00181951">
        <w:t xml:space="preserve">these somewhat </w:t>
      </w:r>
      <w:r>
        <w:t>h</w:t>
      </w:r>
      <w:r w:rsidR="00181951">
        <w:t>ave</w:t>
      </w:r>
      <w:r>
        <w:t xml:space="preserve"> the appearance of </w:t>
      </w:r>
      <w:r w:rsidR="00181951">
        <w:t>a D</w:t>
      </w:r>
      <w:r>
        <w:t>iscussion</w:t>
      </w:r>
      <w:r w:rsidR="00181951">
        <w:t xml:space="preserve"> section</w:t>
      </w:r>
      <w:r>
        <w:t xml:space="preserve">, </w:t>
      </w:r>
      <w:r w:rsidR="00181951">
        <w:t>they are</w:t>
      </w:r>
      <w:r>
        <w:t xml:space="preserve"> actaully</w:t>
      </w:r>
      <w:r w:rsidR="00181951">
        <w:t xml:space="preserve"> a</w:t>
      </w:r>
      <w:r>
        <w:t xml:space="preserve"> direct presentation of the results of our methods…</w:t>
      </w:r>
    </w:p>
    <w:p w14:paraId="02CE77FA" w14:textId="77777777" w:rsidR="0023464E" w:rsidRDefault="0023464E">
      <w:pPr>
        <w:pStyle w:val="CommentText"/>
      </w:pPr>
    </w:p>
    <w:p w14:paraId="12FC4A85" w14:textId="77777777" w:rsidR="00EF0F1E" w:rsidRDefault="0023464E">
      <w:pPr>
        <w:pStyle w:val="CommentText"/>
      </w:pPr>
      <w:r>
        <w:t>As for MN data… Worth a conversation whether or not to include, but I think is opening a can of worms</w:t>
      </w:r>
      <w:r w:rsidR="00F43688">
        <w:t>…</w:t>
      </w:r>
      <w:r>
        <w:t xml:space="preserve"> </w:t>
      </w:r>
      <w:r w:rsidR="00F43688">
        <w:t xml:space="preserve">(i.e., </w:t>
      </w:r>
      <w:r>
        <w:t>potentially lead</w:t>
      </w:r>
      <w:r w:rsidR="00F43688">
        <w:t>ing</w:t>
      </w:r>
      <w:r>
        <w:t xml:space="preserve"> to needing to perform the conventional statisical analysis for the MN data</w:t>
      </w:r>
      <w:r w:rsidR="00F43688">
        <w:t>)</w:t>
      </w:r>
      <w:r>
        <w:t xml:space="preserve">. In the past when I’ve </w:t>
      </w:r>
      <w:r w:rsidR="00F43688">
        <w:t>implemented this</w:t>
      </w:r>
      <w:r>
        <w:t>, we’ve seen that MN is quite similar to Belgium. And based on Figure 3</w:t>
      </w:r>
      <w:r w:rsidR="00F43688">
        <w:t xml:space="preserve"> and Figure S2, this makes sense because MN is biased with overrepresenation of observations with excess N status</w:t>
      </w:r>
      <w:r w:rsidR="00EF0F1E">
        <w:t xml:space="preserve"> (i.e., same as seen with Belgium). My sense is that trying to include a comment on MN here 1) doesn’t add much value to the existing conclusion, and 2) might require an extensive addition to methods and results to make this direct evalutaion.</w:t>
      </w:r>
    </w:p>
    <w:p w14:paraId="28AE7B73" w14:textId="77777777" w:rsidR="00EF0F1E" w:rsidRDefault="00EF0F1E">
      <w:pPr>
        <w:pStyle w:val="CommentText"/>
      </w:pPr>
    </w:p>
    <w:p w14:paraId="1E27069A" w14:textId="7B05E585" w:rsidR="00EF0F1E" w:rsidRDefault="00EF0F1E">
      <w:pPr>
        <w:pStyle w:val="CommentText"/>
      </w:pPr>
      <w:r>
        <w:t xml:space="preserve">I’ve gone back and forth while drafting this manuscript on whether or not to include conventional statistical methods for the MN CNDC and </w:t>
      </w:r>
      <w:r w:rsidR="00181951">
        <w:t xml:space="preserve">have </w:t>
      </w:r>
      <w:r>
        <w:t>decided that if the non-Bayesian methods are in fact biased, it’s not appropriate to propogate this analysis any further and that is most appropraite to only present the Bayesian estimate of CNDC for MN.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A9EB0F" w15:done="0"/>
  <w15:commentEx w15:paraId="1E27069A" w15:paraIdParent="71A9EB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FC2F4" w16cex:dateUtc="2021-07-19T14:23:00Z"/>
  <w16cex:commentExtensible w16cex:durableId="249FC2FE" w16cex:dateUtc="2021-07-19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A9EB0F" w16cid:durableId="249FC2F4"/>
  <w16cid:commentId w16cid:paraId="1E27069A" w16cid:durableId="249FC2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350EC" w14:textId="77777777" w:rsidR="00F30138" w:rsidRDefault="00F30138">
      <w:r>
        <w:separator/>
      </w:r>
    </w:p>
  </w:endnote>
  <w:endnote w:type="continuationSeparator" w:id="0">
    <w:p w14:paraId="7947B3A6" w14:textId="77777777" w:rsidR="00F30138" w:rsidRDefault="00F30138">
      <w:r>
        <w:continuationSeparator/>
      </w:r>
    </w:p>
  </w:endnote>
  <w:endnote w:type="continuationNotice" w:id="1">
    <w:p w14:paraId="48D24339" w14:textId="77777777" w:rsidR="00F30138" w:rsidRDefault="00F301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C12314" w14:textId="77777777" w:rsidR="00F30138" w:rsidRDefault="00F30138">
      <w:r>
        <w:separator/>
      </w:r>
    </w:p>
  </w:footnote>
  <w:footnote w:type="continuationSeparator" w:id="0">
    <w:p w14:paraId="42DC7B63" w14:textId="77777777" w:rsidR="00F30138" w:rsidRDefault="00F30138">
      <w:r>
        <w:continuationSeparator/>
      </w:r>
    </w:p>
  </w:footnote>
  <w:footnote w:type="continuationNotice" w:id="1">
    <w:p w14:paraId="19178DEB" w14:textId="77777777" w:rsidR="00F30138" w:rsidRDefault="00F301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Bohman">
    <w15:presenceInfo w15:providerId="Windows Live" w15:userId="2ec9490cdff18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item&gt;2706&lt;/item&gt;&lt;/record-ids&gt;&lt;/item&gt;&lt;/Libraries&gt;"/>
  </w:docVars>
  <w:rsids>
    <w:rsidRoot w:val="00E51A12"/>
    <w:rsid w:val="000012B2"/>
    <w:rsid w:val="000039C3"/>
    <w:rsid w:val="00003B64"/>
    <w:rsid w:val="0001090C"/>
    <w:rsid w:val="0001619C"/>
    <w:rsid w:val="00017B1C"/>
    <w:rsid w:val="00020C2C"/>
    <w:rsid w:val="00025C19"/>
    <w:rsid w:val="0002660C"/>
    <w:rsid w:val="00030116"/>
    <w:rsid w:val="00031BF6"/>
    <w:rsid w:val="00032897"/>
    <w:rsid w:val="000343D6"/>
    <w:rsid w:val="0003520A"/>
    <w:rsid w:val="000358A0"/>
    <w:rsid w:val="00036310"/>
    <w:rsid w:val="0003691D"/>
    <w:rsid w:val="00037590"/>
    <w:rsid w:val="00037EAC"/>
    <w:rsid w:val="000405D8"/>
    <w:rsid w:val="00043396"/>
    <w:rsid w:val="000435E1"/>
    <w:rsid w:val="00043CAE"/>
    <w:rsid w:val="00045645"/>
    <w:rsid w:val="000461CF"/>
    <w:rsid w:val="00050C99"/>
    <w:rsid w:val="00053B35"/>
    <w:rsid w:val="00053D9E"/>
    <w:rsid w:val="00053F7D"/>
    <w:rsid w:val="00054F09"/>
    <w:rsid w:val="00055DCB"/>
    <w:rsid w:val="00061376"/>
    <w:rsid w:val="00066FEA"/>
    <w:rsid w:val="0006745B"/>
    <w:rsid w:val="0007129D"/>
    <w:rsid w:val="00075D50"/>
    <w:rsid w:val="00076AB0"/>
    <w:rsid w:val="00081AA2"/>
    <w:rsid w:val="00084BC1"/>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20A"/>
    <w:rsid w:val="000B7C30"/>
    <w:rsid w:val="000C535B"/>
    <w:rsid w:val="000C5A74"/>
    <w:rsid w:val="000C7341"/>
    <w:rsid w:val="000C7F41"/>
    <w:rsid w:val="000D400F"/>
    <w:rsid w:val="000D4358"/>
    <w:rsid w:val="000D5B61"/>
    <w:rsid w:val="000E1875"/>
    <w:rsid w:val="000E2413"/>
    <w:rsid w:val="000E2F6D"/>
    <w:rsid w:val="000E5106"/>
    <w:rsid w:val="000E5762"/>
    <w:rsid w:val="000E7A9C"/>
    <w:rsid w:val="000F0EF9"/>
    <w:rsid w:val="000F16B4"/>
    <w:rsid w:val="000F21AA"/>
    <w:rsid w:val="000F2327"/>
    <w:rsid w:val="000F29C4"/>
    <w:rsid w:val="000F303E"/>
    <w:rsid w:val="000F3FF5"/>
    <w:rsid w:val="000F47C9"/>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41BB8"/>
    <w:rsid w:val="00141FA7"/>
    <w:rsid w:val="001420F7"/>
    <w:rsid w:val="0014305D"/>
    <w:rsid w:val="00147B62"/>
    <w:rsid w:val="0015044B"/>
    <w:rsid w:val="00153141"/>
    <w:rsid w:val="001534C8"/>
    <w:rsid w:val="0015350B"/>
    <w:rsid w:val="00154B9B"/>
    <w:rsid w:val="00156AA4"/>
    <w:rsid w:val="00157166"/>
    <w:rsid w:val="00160125"/>
    <w:rsid w:val="00160A90"/>
    <w:rsid w:val="001616A2"/>
    <w:rsid w:val="00161884"/>
    <w:rsid w:val="00161BA3"/>
    <w:rsid w:val="001641EF"/>
    <w:rsid w:val="00164E86"/>
    <w:rsid w:val="00165422"/>
    <w:rsid w:val="0017130C"/>
    <w:rsid w:val="00171913"/>
    <w:rsid w:val="00172E9F"/>
    <w:rsid w:val="001767DD"/>
    <w:rsid w:val="00176C5B"/>
    <w:rsid w:val="001812F3"/>
    <w:rsid w:val="0018158B"/>
    <w:rsid w:val="00181951"/>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209C"/>
    <w:rsid w:val="001D2AA6"/>
    <w:rsid w:val="001D3170"/>
    <w:rsid w:val="001D415B"/>
    <w:rsid w:val="001D5B2F"/>
    <w:rsid w:val="001D5C04"/>
    <w:rsid w:val="001D7819"/>
    <w:rsid w:val="001E082F"/>
    <w:rsid w:val="001E14E8"/>
    <w:rsid w:val="001E1D9C"/>
    <w:rsid w:val="001E2AEB"/>
    <w:rsid w:val="001E702E"/>
    <w:rsid w:val="001F4314"/>
    <w:rsid w:val="001F589E"/>
    <w:rsid w:val="001F6934"/>
    <w:rsid w:val="001F7D51"/>
    <w:rsid w:val="002037A1"/>
    <w:rsid w:val="00203D21"/>
    <w:rsid w:val="0020515A"/>
    <w:rsid w:val="00207F46"/>
    <w:rsid w:val="0021013B"/>
    <w:rsid w:val="002145AE"/>
    <w:rsid w:val="002169F3"/>
    <w:rsid w:val="002211AB"/>
    <w:rsid w:val="002227CB"/>
    <w:rsid w:val="00225F78"/>
    <w:rsid w:val="00227698"/>
    <w:rsid w:val="00232380"/>
    <w:rsid w:val="00232828"/>
    <w:rsid w:val="0023282F"/>
    <w:rsid w:val="002331DF"/>
    <w:rsid w:val="00233D85"/>
    <w:rsid w:val="0023464E"/>
    <w:rsid w:val="0023580E"/>
    <w:rsid w:val="00240604"/>
    <w:rsid w:val="002412EC"/>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554D"/>
    <w:rsid w:val="002E59CB"/>
    <w:rsid w:val="002E5AF0"/>
    <w:rsid w:val="002F075E"/>
    <w:rsid w:val="002F1112"/>
    <w:rsid w:val="002F1F43"/>
    <w:rsid w:val="002F7C8A"/>
    <w:rsid w:val="00300564"/>
    <w:rsid w:val="003036F0"/>
    <w:rsid w:val="0030385B"/>
    <w:rsid w:val="00305B9B"/>
    <w:rsid w:val="00305D9F"/>
    <w:rsid w:val="00307EA8"/>
    <w:rsid w:val="00311434"/>
    <w:rsid w:val="00311738"/>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A6A5F"/>
    <w:rsid w:val="003B3879"/>
    <w:rsid w:val="003C1FD9"/>
    <w:rsid w:val="003C4E2C"/>
    <w:rsid w:val="003C6733"/>
    <w:rsid w:val="003C6F2B"/>
    <w:rsid w:val="003D0173"/>
    <w:rsid w:val="003D058D"/>
    <w:rsid w:val="003D08AD"/>
    <w:rsid w:val="003D2D70"/>
    <w:rsid w:val="003D5329"/>
    <w:rsid w:val="003D564E"/>
    <w:rsid w:val="003E1888"/>
    <w:rsid w:val="003E1A20"/>
    <w:rsid w:val="003E1BCB"/>
    <w:rsid w:val="003E1C4E"/>
    <w:rsid w:val="003E4170"/>
    <w:rsid w:val="003E5C07"/>
    <w:rsid w:val="003F0C04"/>
    <w:rsid w:val="003F62DB"/>
    <w:rsid w:val="003F6517"/>
    <w:rsid w:val="004000AC"/>
    <w:rsid w:val="004003B1"/>
    <w:rsid w:val="0040126F"/>
    <w:rsid w:val="00401D30"/>
    <w:rsid w:val="00404410"/>
    <w:rsid w:val="00404C72"/>
    <w:rsid w:val="00405AF9"/>
    <w:rsid w:val="004116A6"/>
    <w:rsid w:val="00412294"/>
    <w:rsid w:val="00413CFC"/>
    <w:rsid w:val="004142D0"/>
    <w:rsid w:val="00415544"/>
    <w:rsid w:val="00417369"/>
    <w:rsid w:val="004174C7"/>
    <w:rsid w:val="00424740"/>
    <w:rsid w:val="004250DF"/>
    <w:rsid w:val="0043243C"/>
    <w:rsid w:val="00435885"/>
    <w:rsid w:val="00436A7C"/>
    <w:rsid w:val="00436BC2"/>
    <w:rsid w:val="0043767A"/>
    <w:rsid w:val="0044068B"/>
    <w:rsid w:val="00440882"/>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0F0F"/>
    <w:rsid w:val="004929CE"/>
    <w:rsid w:val="00494EA0"/>
    <w:rsid w:val="004958A4"/>
    <w:rsid w:val="004960C0"/>
    <w:rsid w:val="00496932"/>
    <w:rsid w:val="00497FB2"/>
    <w:rsid w:val="004A0820"/>
    <w:rsid w:val="004A0ED9"/>
    <w:rsid w:val="004A11C2"/>
    <w:rsid w:val="004A1326"/>
    <w:rsid w:val="004B1CFE"/>
    <w:rsid w:val="004B3D2A"/>
    <w:rsid w:val="004B4F3F"/>
    <w:rsid w:val="004B514A"/>
    <w:rsid w:val="004B69DA"/>
    <w:rsid w:val="004C0405"/>
    <w:rsid w:val="004C206E"/>
    <w:rsid w:val="004C33AD"/>
    <w:rsid w:val="004C38EF"/>
    <w:rsid w:val="004C5256"/>
    <w:rsid w:val="004C6847"/>
    <w:rsid w:val="004D0A18"/>
    <w:rsid w:val="004D212A"/>
    <w:rsid w:val="004D2259"/>
    <w:rsid w:val="004D2DEF"/>
    <w:rsid w:val="004D3195"/>
    <w:rsid w:val="004D4002"/>
    <w:rsid w:val="004D70D5"/>
    <w:rsid w:val="004E1AB8"/>
    <w:rsid w:val="004E2E4A"/>
    <w:rsid w:val="004E36CD"/>
    <w:rsid w:val="004E423F"/>
    <w:rsid w:val="004E4261"/>
    <w:rsid w:val="004E42D7"/>
    <w:rsid w:val="004F135D"/>
    <w:rsid w:val="004F2448"/>
    <w:rsid w:val="004F24D4"/>
    <w:rsid w:val="004F5828"/>
    <w:rsid w:val="004F6AB0"/>
    <w:rsid w:val="004F6B36"/>
    <w:rsid w:val="00502234"/>
    <w:rsid w:val="005043C5"/>
    <w:rsid w:val="005047C5"/>
    <w:rsid w:val="00504B5C"/>
    <w:rsid w:val="00504C6C"/>
    <w:rsid w:val="00505583"/>
    <w:rsid w:val="0050573A"/>
    <w:rsid w:val="00511579"/>
    <w:rsid w:val="00514101"/>
    <w:rsid w:val="00514714"/>
    <w:rsid w:val="00517F86"/>
    <w:rsid w:val="00523690"/>
    <w:rsid w:val="00524EF5"/>
    <w:rsid w:val="00524F9F"/>
    <w:rsid w:val="00526733"/>
    <w:rsid w:val="005275DD"/>
    <w:rsid w:val="00530CB4"/>
    <w:rsid w:val="005342C2"/>
    <w:rsid w:val="005360E8"/>
    <w:rsid w:val="00541460"/>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27EC"/>
    <w:rsid w:val="005747D8"/>
    <w:rsid w:val="00577D2C"/>
    <w:rsid w:val="00580181"/>
    <w:rsid w:val="005806C6"/>
    <w:rsid w:val="00580DE5"/>
    <w:rsid w:val="00581A8E"/>
    <w:rsid w:val="0058645A"/>
    <w:rsid w:val="0059008C"/>
    <w:rsid w:val="00592BF1"/>
    <w:rsid w:val="00596031"/>
    <w:rsid w:val="00597A92"/>
    <w:rsid w:val="00597BC7"/>
    <w:rsid w:val="005A3CCE"/>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27C00"/>
    <w:rsid w:val="006314CC"/>
    <w:rsid w:val="006317A2"/>
    <w:rsid w:val="00632BEE"/>
    <w:rsid w:val="006357AC"/>
    <w:rsid w:val="006368C4"/>
    <w:rsid w:val="006373DE"/>
    <w:rsid w:val="00637995"/>
    <w:rsid w:val="00642714"/>
    <w:rsid w:val="006440AE"/>
    <w:rsid w:val="00644601"/>
    <w:rsid w:val="00647C55"/>
    <w:rsid w:val="00651178"/>
    <w:rsid w:val="006534AF"/>
    <w:rsid w:val="006537E9"/>
    <w:rsid w:val="006542FD"/>
    <w:rsid w:val="00661462"/>
    <w:rsid w:val="00665E00"/>
    <w:rsid w:val="00666959"/>
    <w:rsid w:val="00667AC1"/>
    <w:rsid w:val="00673D6A"/>
    <w:rsid w:val="00676DE6"/>
    <w:rsid w:val="00680471"/>
    <w:rsid w:val="0068164C"/>
    <w:rsid w:val="00684D62"/>
    <w:rsid w:val="00685B89"/>
    <w:rsid w:val="00685EA9"/>
    <w:rsid w:val="00686D0E"/>
    <w:rsid w:val="00686EE1"/>
    <w:rsid w:val="00690847"/>
    <w:rsid w:val="006908C3"/>
    <w:rsid w:val="00691354"/>
    <w:rsid w:val="00692393"/>
    <w:rsid w:val="006925E6"/>
    <w:rsid w:val="00692CD3"/>
    <w:rsid w:val="00692DFD"/>
    <w:rsid w:val="006943C9"/>
    <w:rsid w:val="00695778"/>
    <w:rsid w:val="006A0977"/>
    <w:rsid w:val="006A456B"/>
    <w:rsid w:val="006A52CF"/>
    <w:rsid w:val="006A5699"/>
    <w:rsid w:val="006A5E7D"/>
    <w:rsid w:val="006A6E05"/>
    <w:rsid w:val="006B16EE"/>
    <w:rsid w:val="006B190A"/>
    <w:rsid w:val="006B1FD4"/>
    <w:rsid w:val="006B45BE"/>
    <w:rsid w:val="006C0602"/>
    <w:rsid w:val="006C3240"/>
    <w:rsid w:val="006C3417"/>
    <w:rsid w:val="006C4E67"/>
    <w:rsid w:val="006C548C"/>
    <w:rsid w:val="006C5DA8"/>
    <w:rsid w:val="006D1F17"/>
    <w:rsid w:val="006D2791"/>
    <w:rsid w:val="006D30B7"/>
    <w:rsid w:val="006D4521"/>
    <w:rsid w:val="006D7024"/>
    <w:rsid w:val="006E4C2E"/>
    <w:rsid w:val="006F3E2E"/>
    <w:rsid w:val="006F6195"/>
    <w:rsid w:val="0070005C"/>
    <w:rsid w:val="007034F9"/>
    <w:rsid w:val="00705097"/>
    <w:rsid w:val="0070729E"/>
    <w:rsid w:val="007075EA"/>
    <w:rsid w:val="00710E47"/>
    <w:rsid w:val="00711098"/>
    <w:rsid w:val="0071223D"/>
    <w:rsid w:val="00717905"/>
    <w:rsid w:val="00720BEA"/>
    <w:rsid w:val="007224FE"/>
    <w:rsid w:val="00722A6F"/>
    <w:rsid w:val="00725DD7"/>
    <w:rsid w:val="00731B25"/>
    <w:rsid w:val="007322A6"/>
    <w:rsid w:val="00733D7B"/>
    <w:rsid w:val="007366D3"/>
    <w:rsid w:val="00736C99"/>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37F9"/>
    <w:rsid w:val="00764781"/>
    <w:rsid w:val="00767E23"/>
    <w:rsid w:val="007719BA"/>
    <w:rsid w:val="0077548F"/>
    <w:rsid w:val="00775CA3"/>
    <w:rsid w:val="00775E1C"/>
    <w:rsid w:val="00776153"/>
    <w:rsid w:val="00777A39"/>
    <w:rsid w:val="0078374B"/>
    <w:rsid w:val="0078595B"/>
    <w:rsid w:val="00792798"/>
    <w:rsid w:val="00796E3D"/>
    <w:rsid w:val="0079775D"/>
    <w:rsid w:val="00797F27"/>
    <w:rsid w:val="007A0EA5"/>
    <w:rsid w:val="007A1D3A"/>
    <w:rsid w:val="007A382B"/>
    <w:rsid w:val="007A5D60"/>
    <w:rsid w:val="007A6981"/>
    <w:rsid w:val="007A7B56"/>
    <w:rsid w:val="007A7CAE"/>
    <w:rsid w:val="007B07AE"/>
    <w:rsid w:val="007B17A4"/>
    <w:rsid w:val="007B2AE1"/>
    <w:rsid w:val="007B38B7"/>
    <w:rsid w:val="007B390D"/>
    <w:rsid w:val="007B4B92"/>
    <w:rsid w:val="007B5033"/>
    <w:rsid w:val="007B5742"/>
    <w:rsid w:val="007B5A00"/>
    <w:rsid w:val="007C0FE0"/>
    <w:rsid w:val="007C70A3"/>
    <w:rsid w:val="007D08B2"/>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27856"/>
    <w:rsid w:val="00830F4C"/>
    <w:rsid w:val="00831010"/>
    <w:rsid w:val="00832896"/>
    <w:rsid w:val="0083755A"/>
    <w:rsid w:val="00840960"/>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6EB9"/>
    <w:rsid w:val="0089192E"/>
    <w:rsid w:val="008A14C5"/>
    <w:rsid w:val="008A1935"/>
    <w:rsid w:val="008A3B40"/>
    <w:rsid w:val="008A43B6"/>
    <w:rsid w:val="008A47FD"/>
    <w:rsid w:val="008A77F7"/>
    <w:rsid w:val="008B1C6C"/>
    <w:rsid w:val="008B2517"/>
    <w:rsid w:val="008C4D09"/>
    <w:rsid w:val="008C613D"/>
    <w:rsid w:val="008D1B7D"/>
    <w:rsid w:val="008D2AE6"/>
    <w:rsid w:val="008D3823"/>
    <w:rsid w:val="008D3914"/>
    <w:rsid w:val="008D3FAA"/>
    <w:rsid w:val="008D5EC4"/>
    <w:rsid w:val="008E0988"/>
    <w:rsid w:val="008E6FC6"/>
    <w:rsid w:val="008E709F"/>
    <w:rsid w:val="008E764D"/>
    <w:rsid w:val="008F077F"/>
    <w:rsid w:val="008F26EB"/>
    <w:rsid w:val="008F368C"/>
    <w:rsid w:val="008F37F7"/>
    <w:rsid w:val="008F501F"/>
    <w:rsid w:val="008F6612"/>
    <w:rsid w:val="00902C9A"/>
    <w:rsid w:val="00905FC4"/>
    <w:rsid w:val="009062BE"/>
    <w:rsid w:val="009115C1"/>
    <w:rsid w:val="00911810"/>
    <w:rsid w:val="00911FD8"/>
    <w:rsid w:val="00912892"/>
    <w:rsid w:val="009154D2"/>
    <w:rsid w:val="00915A93"/>
    <w:rsid w:val="009160BD"/>
    <w:rsid w:val="00917FE5"/>
    <w:rsid w:val="00927A3C"/>
    <w:rsid w:val="00931F1D"/>
    <w:rsid w:val="00935D6A"/>
    <w:rsid w:val="009364C5"/>
    <w:rsid w:val="00936B2A"/>
    <w:rsid w:val="009436F2"/>
    <w:rsid w:val="00945056"/>
    <w:rsid w:val="009464D4"/>
    <w:rsid w:val="00953F38"/>
    <w:rsid w:val="00956172"/>
    <w:rsid w:val="00956AC4"/>
    <w:rsid w:val="009576D4"/>
    <w:rsid w:val="00957ED5"/>
    <w:rsid w:val="009661E0"/>
    <w:rsid w:val="0097077E"/>
    <w:rsid w:val="009723C0"/>
    <w:rsid w:val="00985068"/>
    <w:rsid w:val="0099183A"/>
    <w:rsid w:val="009932F5"/>
    <w:rsid w:val="0099785F"/>
    <w:rsid w:val="009A190B"/>
    <w:rsid w:val="009A564C"/>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5D04"/>
    <w:rsid w:val="009D6823"/>
    <w:rsid w:val="009E078A"/>
    <w:rsid w:val="009E0D07"/>
    <w:rsid w:val="009E0F57"/>
    <w:rsid w:val="009E1378"/>
    <w:rsid w:val="009E2914"/>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152A9"/>
    <w:rsid w:val="00A202AF"/>
    <w:rsid w:val="00A21ED3"/>
    <w:rsid w:val="00A224C2"/>
    <w:rsid w:val="00A22EA9"/>
    <w:rsid w:val="00A2317F"/>
    <w:rsid w:val="00A25E70"/>
    <w:rsid w:val="00A26FDF"/>
    <w:rsid w:val="00A3029D"/>
    <w:rsid w:val="00A322D0"/>
    <w:rsid w:val="00A33A19"/>
    <w:rsid w:val="00A405F6"/>
    <w:rsid w:val="00A409BC"/>
    <w:rsid w:val="00A41067"/>
    <w:rsid w:val="00A4354F"/>
    <w:rsid w:val="00A438DE"/>
    <w:rsid w:val="00A44D4B"/>
    <w:rsid w:val="00A56199"/>
    <w:rsid w:val="00A608E4"/>
    <w:rsid w:val="00A61F95"/>
    <w:rsid w:val="00A63332"/>
    <w:rsid w:val="00A64DEE"/>
    <w:rsid w:val="00A66D0F"/>
    <w:rsid w:val="00A67715"/>
    <w:rsid w:val="00A6789B"/>
    <w:rsid w:val="00A70D59"/>
    <w:rsid w:val="00A731BD"/>
    <w:rsid w:val="00A7702B"/>
    <w:rsid w:val="00A777EC"/>
    <w:rsid w:val="00A80942"/>
    <w:rsid w:val="00A80D2F"/>
    <w:rsid w:val="00A813C9"/>
    <w:rsid w:val="00A84F72"/>
    <w:rsid w:val="00A860ED"/>
    <w:rsid w:val="00A86264"/>
    <w:rsid w:val="00A919FD"/>
    <w:rsid w:val="00A926EE"/>
    <w:rsid w:val="00A92AB0"/>
    <w:rsid w:val="00A93818"/>
    <w:rsid w:val="00A94222"/>
    <w:rsid w:val="00A949FC"/>
    <w:rsid w:val="00A94A54"/>
    <w:rsid w:val="00A94F8F"/>
    <w:rsid w:val="00A95914"/>
    <w:rsid w:val="00A96F9F"/>
    <w:rsid w:val="00AA09A4"/>
    <w:rsid w:val="00AA243C"/>
    <w:rsid w:val="00AA2672"/>
    <w:rsid w:val="00AA520B"/>
    <w:rsid w:val="00AB297A"/>
    <w:rsid w:val="00AB2A85"/>
    <w:rsid w:val="00AB453F"/>
    <w:rsid w:val="00AB63ED"/>
    <w:rsid w:val="00AB6AD3"/>
    <w:rsid w:val="00AC2131"/>
    <w:rsid w:val="00AC366C"/>
    <w:rsid w:val="00AC6AC1"/>
    <w:rsid w:val="00AC6B68"/>
    <w:rsid w:val="00AC782D"/>
    <w:rsid w:val="00AD1183"/>
    <w:rsid w:val="00AD13E2"/>
    <w:rsid w:val="00AD1E2D"/>
    <w:rsid w:val="00AD36EC"/>
    <w:rsid w:val="00AD6A18"/>
    <w:rsid w:val="00AD70A7"/>
    <w:rsid w:val="00AD7131"/>
    <w:rsid w:val="00AE2F5A"/>
    <w:rsid w:val="00AE6B5C"/>
    <w:rsid w:val="00AE7B0D"/>
    <w:rsid w:val="00AF0B91"/>
    <w:rsid w:val="00AF19A0"/>
    <w:rsid w:val="00AF1D42"/>
    <w:rsid w:val="00AF2FFB"/>
    <w:rsid w:val="00AF5C12"/>
    <w:rsid w:val="00AF67F7"/>
    <w:rsid w:val="00B03469"/>
    <w:rsid w:val="00B03F74"/>
    <w:rsid w:val="00B068D2"/>
    <w:rsid w:val="00B101D1"/>
    <w:rsid w:val="00B108C7"/>
    <w:rsid w:val="00B10DC3"/>
    <w:rsid w:val="00B13037"/>
    <w:rsid w:val="00B16B39"/>
    <w:rsid w:val="00B21B49"/>
    <w:rsid w:val="00B2380C"/>
    <w:rsid w:val="00B24706"/>
    <w:rsid w:val="00B308D3"/>
    <w:rsid w:val="00B332EE"/>
    <w:rsid w:val="00B361C8"/>
    <w:rsid w:val="00B3763F"/>
    <w:rsid w:val="00B3774C"/>
    <w:rsid w:val="00B37963"/>
    <w:rsid w:val="00B4225D"/>
    <w:rsid w:val="00B45D75"/>
    <w:rsid w:val="00B4766C"/>
    <w:rsid w:val="00B5168B"/>
    <w:rsid w:val="00B5245F"/>
    <w:rsid w:val="00B52B60"/>
    <w:rsid w:val="00B52CA5"/>
    <w:rsid w:val="00B54316"/>
    <w:rsid w:val="00B54D54"/>
    <w:rsid w:val="00B54E15"/>
    <w:rsid w:val="00B6166E"/>
    <w:rsid w:val="00B620B6"/>
    <w:rsid w:val="00B6210E"/>
    <w:rsid w:val="00B6254F"/>
    <w:rsid w:val="00B6462A"/>
    <w:rsid w:val="00B65777"/>
    <w:rsid w:val="00B66B31"/>
    <w:rsid w:val="00B715B6"/>
    <w:rsid w:val="00B71E56"/>
    <w:rsid w:val="00B77A1B"/>
    <w:rsid w:val="00B802F5"/>
    <w:rsid w:val="00B83BB0"/>
    <w:rsid w:val="00B83EC6"/>
    <w:rsid w:val="00B84C80"/>
    <w:rsid w:val="00B87920"/>
    <w:rsid w:val="00B913C1"/>
    <w:rsid w:val="00B933DF"/>
    <w:rsid w:val="00B97C9C"/>
    <w:rsid w:val="00B97F0A"/>
    <w:rsid w:val="00BA341E"/>
    <w:rsid w:val="00BA37EF"/>
    <w:rsid w:val="00BA4086"/>
    <w:rsid w:val="00BA4D00"/>
    <w:rsid w:val="00BA5E43"/>
    <w:rsid w:val="00BA78F5"/>
    <w:rsid w:val="00BB3F4E"/>
    <w:rsid w:val="00BB4F03"/>
    <w:rsid w:val="00BC4295"/>
    <w:rsid w:val="00BC4C9E"/>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5319"/>
    <w:rsid w:val="00C10327"/>
    <w:rsid w:val="00C11DFC"/>
    <w:rsid w:val="00C13202"/>
    <w:rsid w:val="00C1487D"/>
    <w:rsid w:val="00C1592F"/>
    <w:rsid w:val="00C16A45"/>
    <w:rsid w:val="00C209AA"/>
    <w:rsid w:val="00C20CE5"/>
    <w:rsid w:val="00C233FF"/>
    <w:rsid w:val="00C23EF4"/>
    <w:rsid w:val="00C30303"/>
    <w:rsid w:val="00C30528"/>
    <w:rsid w:val="00C3082B"/>
    <w:rsid w:val="00C317F8"/>
    <w:rsid w:val="00C3322E"/>
    <w:rsid w:val="00C33DAA"/>
    <w:rsid w:val="00C341E9"/>
    <w:rsid w:val="00C34525"/>
    <w:rsid w:val="00C35D39"/>
    <w:rsid w:val="00C36B35"/>
    <w:rsid w:val="00C37386"/>
    <w:rsid w:val="00C377ED"/>
    <w:rsid w:val="00C45088"/>
    <w:rsid w:val="00C4546B"/>
    <w:rsid w:val="00C455F3"/>
    <w:rsid w:val="00C53164"/>
    <w:rsid w:val="00C5585E"/>
    <w:rsid w:val="00C63A6A"/>
    <w:rsid w:val="00C6471C"/>
    <w:rsid w:val="00C6555C"/>
    <w:rsid w:val="00C65F3E"/>
    <w:rsid w:val="00C70D9E"/>
    <w:rsid w:val="00C744BB"/>
    <w:rsid w:val="00C74595"/>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6030"/>
    <w:rsid w:val="00CB7A34"/>
    <w:rsid w:val="00CB7F9E"/>
    <w:rsid w:val="00CC1544"/>
    <w:rsid w:val="00CC17EB"/>
    <w:rsid w:val="00CC4291"/>
    <w:rsid w:val="00CC44D6"/>
    <w:rsid w:val="00CC617B"/>
    <w:rsid w:val="00CC7083"/>
    <w:rsid w:val="00CD0DA9"/>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5DE3"/>
    <w:rsid w:val="00CF5FB2"/>
    <w:rsid w:val="00CF6199"/>
    <w:rsid w:val="00D0397C"/>
    <w:rsid w:val="00D05D68"/>
    <w:rsid w:val="00D104F3"/>
    <w:rsid w:val="00D11D6A"/>
    <w:rsid w:val="00D1790E"/>
    <w:rsid w:val="00D20541"/>
    <w:rsid w:val="00D21C8D"/>
    <w:rsid w:val="00D23841"/>
    <w:rsid w:val="00D2497C"/>
    <w:rsid w:val="00D258FD"/>
    <w:rsid w:val="00D263FA"/>
    <w:rsid w:val="00D307E0"/>
    <w:rsid w:val="00D32114"/>
    <w:rsid w:val="00D33DEC"/>
    <w:rsid w:val="00D35F38"/>
    <w:rsid w:val="00D36591"/>
    <w:rsid w:val="00D37600"/>
    <w:rsid w:val="00D40976"/>
    <w:rsid w:val="00D41810"/>
    <w:rsid w:val="00D41BB9"/>
    <w:rsid w:val="00D429EC"/>
    <w:rsid w:val="00D47CAE"/>
    <w:rsid w:val="00D50DA4"/>
    <w:rsid w:val="00D531F9"/>
    <w:rsid w:val="00D54126"/>
    <w:rsid w:val="00D56EB3"/>
    <w:rsid w:val="00D57188"/>
    <w:rsid w:val="00D57FA0"/>
    <w:rsid w:val="00D60A5A"/>
    <w:rsid w:val="00D60F84"/>
    <w:rsid w:val="00D6387D"/>
    <w:rsid w:val="00D64D07"/>
    <w:rsid w:val="00D66A7B"/>
    <w:rsid w:val="00D66F8C"/>
    <w:rsid w:val="00D67E5C"/>
    <w:rsid w:val="00D7088B"/>
    <w:rsid w:val="00D710ED"/>
    <w:rsid w:val="00D73918"/>
    <w:rsid w:val="00D7446A"/>
    <w:rsid w:val="00D75819"/>
    <w:rsid w:val="00D770F6"/>
    <w:rsid w:val="00D8367C"/>
    <w:rsid w:val="00D8422B"/>
    <w:rsid w:val="00D8556A"/>
    <w:rsid w:val="00D90E15"/>
    <w:rsid w:val="00D90E70"/>
    <w:rsid w:val="00D91F13"/>
    <w:rsid w:val="00D92A92"/>
    <w:rsid w:val="00D94A12"/>
    <w:rsid w:val="00D96799"/>
    <w:rsid w:val="00D97233"/>
    <w:rsid w:val="00D97743"/>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397C"/>
    <w:rsid w:val="00DC3B64"/>
    <w:rsid w:val="00DC3F98"/>
    <w:rsid w:val="00DC530F"/>
    <w:rsid w:val="00DD05DD"/>
    <w:rsid w:val="00DD0B01"/>
    <w:rsid w:val="00DD4C65"/>
    <w:rsid w:val="00DD5451"/>
    <w:rsid w:val="00DD7BBC"/>
    <w:rsid w:val="00DE3276"/>
    <w:rsid w:val="00DE3AEE"/>
    <w:rsid w:val="00DE3B5D"/>
    <w:rsid w:val="00DE4358"/>
    <w:rsid w:val="00DE4AC2"/>
    <w:rsid w:val="00DE6F1B"/>
    <w:rsid w:val="00DE75A5"/>
    <w:rsid w:val="00DE7F03"/>
    <w:rsid w:val="00DF0733"/>
    <w:rsid w:val="00DF399A"/>
    <w:rsid w:val="00DF4973"/>
    <w:rsid w:val="00DF4DF5"/>
    <w:rsid w:val="00E01779"/>
    <w:rsid w:val="00E03F08"/>
    <w:rsid w:val="00E05153"/>
    <w:rsid w:val="00E117A9"/>
    <w:rsid w:val="00E13A5A"/>
    <w:rsid w:val="00E14B22"/>
    <w:rsid w:val="00E203B6"/>
    <w:rsid w:val="00E21AFB"/>
    <w:rsid w:val="00E225E0"/>
    <w:rsid w:val="00E22B87"/>
    <w:rsid w:val="00E24A6F"/>
    <w:rsid w:val="00E255CC"/>
    <w:rsid w:val="00E26A7D"/>
    <w:rsid w:val="00E27185"/>
    <w:rsid w:val="00E3035F"/>
    <w:rsid w:val="00E32D28"/>
    <w:rsid w:val="00E33A1F"/>
    <w:rsid w:val="00E33E3C"/>
    <w:rsid w:val="00E34A28"/>
    <w:rsid w:val="00E359F3"/>
    <w:rsid w:val="00E361F7"/>
    <w:rsid w:val="00E400ED"/>
    <w:rsid w:val="00E41B6C"/>
    <w:rsid w:val="00E41D60"/>
    <w:rsid w:val="00E42729"/>
    <w:rsid w:val="00E444CB"/>
    <w:rsid w:val="00E452C4"/>
    <w:rsid w:val="00E46085"/>
    <w:rsid w:val="00E460DC"/>
    <w:rsid w:val="00E51A12"/>
    <w:rsid w:val="00E525A4"/>
    <w:rsid w:val="00E54CFB"/>
    <w:rsid w:val="00E56485"/>
    <w:rsid w:val="00E576F6"/>
    <w:rsid w:val="00E5772C"/>
    <w:rsid w:val="00E57E3C"/>
    <w:rsid w:val="00E57F04"/>
    <w:rsid w:val="00E61FF9"/>
    <w:rsid w:val="00E63B3E"/>
    <w:rsid w:val="00E65B5D"/>
    <w:rsid w:val="00E66C25"/>
    <w:rsid w:val="00E720DD"/>
    <w:rsid w:val="00E734D2"/>
    <w:rsid w:val="00E755FC"/>
    <w:rsid w:val="00E75FF2"/>
    <w:rsid w:val="00E77500"/>
    <w:rsid w:val="00E7754F"/>
    <w:rsid w:val="00E77665"/>
    <w:rsid w:val="00E852C3"/>
    <w:rsid w:val="00E86713"/>
    <w:rsid w:val="00E952F2"/>
    <w:rsid w:val="00E954CA"/>
    <w:rsid w:val="00EA38DB"/>
    <w:rsid w:val="00EA452A"/>
    <w:rsid w:val="00EB0A43"/>
    <w:rsid w:val="00EB0A89"/>
    <w:rsid w:val="00EB1101"/>
    <w:rsid w:val="00EB141D"/>
    <w:rsid w:val="00EB2982"/>
    <w:rsid w:val="00EB5A02"/>
    <w:rsid w:val="00EB69E4"/>
    <w:rsid w:val="00EB7AB2"/>
    <w:rsid w:val="00EC0D18"/>
    <w:rsid w:val="00EC0E19"/>
    <w:rsid w:val="00EC0FCD"/>
    <w:rsid w:val="00EC13D7"/>
    <w:rsid w:val="00EC609C"/>
    <w:rsid w:val="00EC6140"/>
    <w:rsid w:val="00ED0D23"/>
    <w:rsid w:val="00ED0D82"/>
    <w:rsid w:val="00ED0F1E"/>
    <w:rsid w:val="00ED13E8"/>
    <w:rsid w:val="00ED1A40"/>
    <w:rsid w:val="00ED23BD"/>
    <w:rsid w:val="00ED28D7"/>
    <w:rsid w:val="00ED3139"/>
    <w:rsid w:val="00ED5B70"/>
    <w:rsid w:val="00EE46A8"/>
    <w:rsid w:val="00EE4BA7"/>
    <w:rsid w:val="00EE6806"/>
    <w:rsid w:val="00EE79C8"/>
    <w:rsid w:val="00EE7A43"/>
    <w:rsid w:val="00EF0F1E"/>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263AB"/>
    <w:rsid w:val="00F30138"/>
    <w:rsid w:val="00F31A38"/>
    <w:rsid w:val="00F33333"/>
    <w:rsid w:val="00F34613"/>
    <w:rsid w:val="00F34A24"/>
    <w:rsid w:val="00F3740D"/>
    <w:rsid w:val="00F37899"/>
    <w:rsid w:val="00F37B33"/>
    <w:rsid w:val="00F419B7"/>
    <w:rsid w:val="00F43688"/>
    <w:rsid w:val="00F444EC"/>
    <w:rsid w:val="00F505C8"/>
    <w:rsid w:val="00F553C3"/>
    <w:rsid w:val="00F56E8A"/>
    <w:rsid w:val="00F60DAD"/>
    <w:rsid w:val="00F65519"/>
    <w:rsid w:val="00F655FE"/>
    <w:rsid w:val="00F71C4C"/>
    <w:rsid w:val="00F7332D"/>
    <w:rsid w:val="00F73341"/>
    <w:rsid w:val="00F7634A"/>
    <w:rsid w:val="00F769DC"/>
    <w:rsid w:val="00F80CD5"/>
    <w:rsid w:val="00F84C0C"/>
    <w:rsid w:val="00F850CC"/>
    <w:rsid w:val="00F878B2"/>
    <w:rsid w:val="00F87C21"/>
    <w:rsid w:val="00F87FE9"/>
    <w:rsid w:val="00F905E8"/>
    <w:rsid w:val="00F908DF"/>
    <w:rsid w:val="00F96B5B"/>
    <w:rsid w:val="00F96EFF"/>
    <w:rsid w:val="00FA085A"/>
    <w:rsid w:val="00FA33A9"/>
    <w:rsid w:val="00FA3B6D"/>
    <w:rsid w:val="00FA4BB4"/>
    <w:rsid w:val="00FA7624"/>
    <w:rsid w:val="00FB061D"/>
    <w:rsid w:val="00FB1CE4"/>
    <w:rsid w:val="00FB4BEF"/>
    <w:rsid w:val="00FB57F9"/>
    <w:rsid w:val="00FB5F4E"/>
    <w:rsid w:val="00FC1A8B"/>
    <w:rsid w:val="00FC1DF9"/>
    <w:rsid w:val="00FC3509"/>
    <w:rsid w:val="00FC36AB"/>
    <w:rsid w:val="00FC53C1"/>
    <w:rsid w:val="00FC79FA"/>
    <w:rsid w:val="00FD057C"/>
    <w:rsid w:val="00FD1EE0"/>
    <w:rsid w:val="00FD5005"/>
    <w:rsid w:val="00FE3B18"/>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6/09/relationships/commentsIds" Target="commentsId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microsoft.com/office/2011/relationships/commentsExtended" Target="commentsExtended.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ohm0072/cndc_bayesian_eval" TargetMode="External"/><Relationship Id="rId28" Type="http://schemas.openxmlformats.org/officeDocument/2006/relationships/footer" Target="footer2.xml"/><Relationship Id="rId10" Type="http://schemas.openxmlformats.org/officeDocument/2006/relationships/image" Target="media/image3.png"/><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github.com/bohm0072/cndc_bayesian_eval" TargetMode="External"/><Relationship Id="rId27" Type="http://schemas.openxmlformats.org/officeDocument/2006/relationships/header" Target="header3.xml"/><Relationship Id="rId30"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21</Pages>
  <Words>23752</Words>
  <Characters>135389</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158824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728</cp:revision>
  <dcterms:created xsi:type="dcterms:W3CDTF">2021-06-01T21:09:00Z</dcterms:created>
  <dcterms:modified xsi:type="dcterms:W3CDTF">2021-07-19T14:35:00Z</dcterms:modified>
</cp:coreProperties>
</file>