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240"/>
        <w:jc w:val="center"/>
      </w:pPr>
      <w:r>
        <w:drawing>
          <wp:inline distT="0" distB="0" distL="0" distR="0">
            <wp:extent cx="2962275"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62275" cy="876300"/>
                    </a:xfrm>
                    <a:prstGeom prst="rect">
                      <a:avLst/>
                    </a:prstGeom>
                  </pic:spPr>
                </pic:pic>
              </a:graphicData>
            </a:graphic>
          </wp:inline>
        </w:drawing>
      </w:r>
    </w:p>
    <w:p>
      <w:r>
        <w:t xml:space="preserve"/>
      </w:r>
    </w:p>
    <w:p>
      <w:pPr>
        <w:spacing w:after="120" w:line="360" w:lineRule="auto"/>
        <w:jc w:val="center"/>
      </w:pPr>
      <w:r>
        <w:rPr>
          <w:rFonts w:ascii="Times New Roman" w:cs="Times New Roman" w:eastAsia="Times New Roman" w:hAnsi="Times New Roman"/>
          <w:b/>
          <w:bCs/>
          <w:sz w:val="24"/>
          <w:szCs w:val="24"/>
        </w:rPr>
        <w:t xml:space="preserve">Inteligencia Artificial</w:t>
      </w:r>
    </w:p>
    <w:p>
      <w:pPr>
        <w:spacing w:after="120" w:line="360" w:lineRule="auto"/>
        <w:jc w:val="center"/>
      </w:pPr>
      <w:r>
        <w:rPr>
          <w:rFonts w:ascii="Times New Roman" w:cs="Times New Roman" w:eastAsia="Times New Roman" w:hAnsi="Times New Roman"/>
          <w:sz w:val="24"/>
          <w:szCs w:val="24"/>
        </w:rPr>
        <w:t xml:space="preserve">Actividad 3 - Métodos de aprendizaje supervisado</w:t>
      </w:r>
    </w:p>
    <w:p>
      <w:pPr>
        <w:spacing w:after="120" w:line="360" w:lineRule="auto"/>
        <w:jc w:val="center"/>
      </w:pPr>
      <w:r>
        <w:rPr>
          <w:rFonts w:ascii="Times New Roman" w:cs="Times New Roman" w:eastAsia="Times New Roman" w:hAnsi="Times New Roman"/>
          <w:sz w:val="24"/>
          <w:szCs w:val="24"/>
        </w:rPr>
        <w:t xml:space="preserve">Descripción de los datos</w:t>
      </w:r>
    </w:p>
    <w:p>
      <w:r>
        <w:t xml:space="preserve"/>
      </w:r>
    </w:p>
    <w:p>
      <w:r>
        <w:t xml:space="preserve"/>
      </w:r>
    </w:p>
    <w:p>
      <w:pPr>
        <w:spacing w:after="120" w:line="360" w:lineRule="auto"/>
        <w:jc w:val="center"/>
      </w:pPr>
      <w:r>
        <w:rPr>
          <w:rFonts w:ascii="Times New Roman" w:cs="Times New Roman" w:eastAsia="Times New Roman" w:hAnsi="Times New Roman"/>
          <w:sz w:val="24"/>
          <w:szCs w:val="24"/>
        </w:rPr>
        <w:t xml:space="preserve">Francisco Luis Ramírez Galvis</w:t>
      </w:r>
    </w:p>
    <w:p>
      <w:pPr>
        <w:spacing w:after="120" w:line="360" w:lineRule="auto"/>
        <w:jc w:val="center"/>
      </w:pPr>
      <w:r>
        <w:rPr>
          <w:rFonts w:ascii="Times New Roman" w:cs="Times New Roman" w:eastAsia="Times New Roman" w:hAnsi="Times New Roman"/>
          <w:sz w:val="24"/>
          <w:szCs w:val="24"/>
        </w:rPr>
        <w:t xml:space="preserve">Juliana Campos Florez</w:t>
      </w:r>
    </w:p>
    <w:p>
      <w:pPr>
        <w:spacing w:after="120" w:line="360" w:lineRule="auto"/>
        <w:jc w:val="center"/>
      </w:pPr>
      <w:r>
        <w:rPr>
          <w:rFonts w:ascii="Times New Roman" w:cs="Times New Roman" w:eastAsia="Times New Roman" w:hAnsi="Times New Roman"/>
          <w:sz w:val="24"/>
          <w:szCs w:val="24"/>
        </w:rPr>
        <w:t xml:space="preserve">Juan Esteban Fierro Cortes</w:t>
      </w:r>
    </w:p>
    <w:p>
      <w:r>
        <w:t xml:space="preserve"/>
      </w:r>
    </w:p>
    <w:p>
      <w:r>
        <w:t xml:space="preserve"/>
      </w:r>
    </w:p>
    <w:p>
      <w:pPr>
        <w:spacing w:after="120" w:line="360" w:lineRule="auto"/>
        <w:jc w:val="center"/>
      </w:pPr>
      <w:r>
        <w:rPr>
          <w:rFonts w:ascii="Times New Roman" w:cs="Times New Roman" w:eastAsia="Times New Roman" w:hAnsi="Times New Roman"/>
          <w:sz w:val="24"/>
          <w:szCs w:val="24"/>
        </w:rPr>
        <w:t xml:space="preserve">Sandra Isabel Rodríguez Bautista</w:t>
      </w:r>
    </w:p>
    <w:p>
      <w:pPr>
        <w:spacing w:after="120" w:line="360" w:lineRule="auto"/>
        <w:jc w:val="center"/>
      </w:pPr>
      <w:r>
        <w:rPr>
          <w:rFonts w:ascii="Times New Roman" w:cs="Times New Roman" w:eastAsia="Times New Roman" w:hAnsi="Times New Roman"/>
          <w:sz w:val="24"/>
          <w:szCs w:val="24"/>
        </w:rPr>
        <w:t xml:space="preserve">Docente</w:t>
      </w:r>
    </w:p>
    <w:p>
      <w:r>
        <w:t xml:space="preserve"/>
      </w:r>
    </w:p>
    <w:p>
      <w:r>
        <w:t xml:space="preserve"/>
      </w:r>
    </w:p>
    <w:p>
      <w:r>
        <w:t xml:space="preserve"/>
      </w:r>
    </w:p>
    <w:p>
      <w:pPr>
        <w:spacing w:after="120" w:line="360" w:lineRule="auto"/>
        <w:jc w:val="center"/>
      </w:pPr>
      <w:r>
        <w:rPr>
          <w:rFonts w:ascii="Times New Roman" w:cs="Times New Roman" w:eastAsia="Times New Roman" w:hAnsi="Times New Roman"/>
          <w:sz w:val="24"/>
          <w:szCs w:val="24"/>
        </w:rPr>
        <w:t xml:space="preserve">Corporación Universitaria Iberoamericana</w:t>
      </w:r>
    </w:p>
    <w:p>
      <w:pPr>
        <w:spacing w:after="120" w:line="360" w:lineRule="auto"/>
        <w:jc w:val="center"/>
      </w:pPr>
      <w:r>
        <w:rPr>
          <w:rFonts w:ascii="Times New Roman" w:cs="Times New Roman" w:eastAsia="Times New Roman" w:hAnsi="Times New Roman"/>
          <w:sz w:val="24"/>
          <w:szCs w:val="24"/>
        </w:rPr>
        <w:t xml:space="preserve">Facultad de Ingeniería</w:t>
      </w:r>
    </w:p>
    <w:p>
      <w:pPr>
        <w:spacing w:after="120" w:line="360" w:lineRule="auto"/>
        <w:jc w:val="center"/>
      </w:pPr>
      <w:r>
        <w:rPr>
          <w:rFonts w:ascii="Times New Roman" w:cs="Times New Roman" w:eastAsia="Times New Roman" w:hAnsi="Times New Roman"/>
          <w:sz w:val="24"/>
          <w:szCs w:val="24"/>
        </w:rPr>
        <w:t xml:space="preserve">Ingeniería de Software</w:t>
      </w:r>
    </w:p>
    <w:p>
      <w:pPr>
        <w:spacing w:after="120" w:line="360" w:lineRule="auto"/>
        <w:jc w:val="center"/>
      </w:pPr>
      <w:r>
        <w:rPr>
          <w:rFonts w:ascii="Times New Roman" w:cs="Times New Roman" w:eastAsia="Times New Roman" w:hAnsi="Times New Roman"/>
          <w:sz w:val="24"/>
          <w:szCs w:val="24"/>
        </w:rPr>
        <w:t xml:space="preserve">Octubre, 2026</w:t>
      </w:r>
    </w:p>
    <w:p>
      <w:r>
        <w:br w:type="page"/>
      </w:r>
    </w:p>
    <w:p>
      <w:pPr>
        <w:pStyle w:val="Heading1"/>
        <w:spacing w:after="120" w:before="240"/>
      </w:pPr>
      <w:r>
        <w:rPr>
          <w:rFonts w:ascii="Calibri" w:cs="Calibri" w:eastAsia="Calibri" w:hAnsi="Calibri"/>
          <w:color w:val="0F4761"/>
          <w:sz w:val="32"/>
          <w:szCs w:val="32"/>
        </w:rPr>
        <w:t xml:space="preserve">1. Introducción</w:t>
      </w:r>
    </w:p>
    <w:p>
      <w:pPr>
        <w:spacing w:after="121" w:line="360" w:lineRule="auto"/>
        <w:jc w:val="both"/>
      </w:pPr>
      <w:r>
        <w:rPr>
          <w:rFonts w:ascii="Times New Roman" w:cs="Times New Roman" w:eastAsia="Times New Roman" w:hAnsi="Times New Roman"/>
          <w:sz w:val="24"/>
          <w:szCs w:val="24"/>
        </w:rPr>
        <w:t xml:space="preserve">Este documento describe la fuente de datos utilizada en la Actividad 3 para el desarrollo de un modelo de aprendizaje supervisado sobre el sistema de transporte masivo MIO de Cali. El modelo, un árbol de decisión, tiene como objetivo predecir el nivel de ocupación de una estación (baja, media o alta) a partir de condiciones como el tipo de día, la franja horaria, el tipo de estación, el clima y la ocurrencia de eventos especiales. El trabajo da continuidad al sistema experto de rutas desarrollado en la actividad anterior y utiliza las mismas 17 estaciones y corredores.</w:t>
      </w:r>
    </w:p>
    <w:p>
      <w:pPr>
        <w:pStyle w:val="Heading1"/>
        <w:spacing w:after="120" w:before="240"/>
      </w:pPr>
      <w:r>
        <w:rPr>
          <w:rFonts w:ascii="Calibri" w:cs="Calibri" w:eastAsia="Calibri" w:hAnsi="Calibri"/>
          <w:color w:val="0F4761"/>
          <w:sz w:val="32"/>
          <w:szCs w:val="32"/>
        </w:rPr>
        <w:t xml:space="preserve">2. Identificación de fuentes de datos</w:t>
      </w:r>
    </w:p>
    <w:p>
      <w:pPr>
        <w:spacing w:after="121" w:line="360" w:lineRule="auto"/>
        <w:jc w:val="both"/>
      </w:pPr>
      <w:r>
        <w:rPr>
          <w:rFonts w:ascii="Times New Roman" w:cs="Times New Roman" w:eastAsia="Times New Roman" w:hAnsi="Times New Roman"/>
          <w:sz w:val="24"/>
          <w:szCs w:val="24"/>
        </w:rPr>
        <w:t xml:space="preserve">Como punto de partida se consideraron las fuentes oficiales relacionadas con el sistema: Metrocali S.A., entidad gestora del MIO, y el portal de datos abiertos del Estado colombiano (datos.gov.co). Estas fuentes ofrecen información general del sistema, como rutas, estaciones e indicadores agregados de operación; sin embargo, no se encontró un conjunto de datos abierto que registre el nivel de ocupación por estación, día y franja horaria, que es el nivel de detalle que requiere el modelo.</w:t>
      </w:r>
    </w:p>
    <w:p>
      <w:pPr>
        <w:spacing w:after="121" w:line="360" w:lineRule="auto"/>
        <w:jc w:val="both"/>
      </w:pPr>
      <w:r>
        <w:rPr>
          <w:rFonts w:ascii="Times New Roman" w:cs="Times New Roman" w:eastAsia="Times New Roman" w:hAnsi="Times New Roman"/>
          <w:sz w:val="24"/>
          <w:szCs w:val="24"/>
        </w:rPr>
        <w:t xml:space="preserve">Por esta razón, y tal como lo contempla la actividad, se desarrolló un dataset de muestra que representa de forma realista el comportamiento de la demanda en el sistema.</w:t>
      </w:r>
    </w:p>
    <w:p>
      <w:pPr>
        <w:pStyle w:val="Heading1"/>
        <w:spacing w:after="120" w:before="240"/>
      </w:pPr>
      <w:r>
        <w:rPr>
          <w:rFonts w:ascii="Calibri" w:cs="Calibri" w:eastAsia="Calibri" w:hAnsi="Calibri"/>
          <w:color w:val="0F4761"/>
          <w:sz w:val="32"/>
          <w:szCs w:val="32"/>
        </w:rPr>
        <w:t xml:space="preserve">3. Construcción del dataset</w:t>
      </w:r>
    </w:p>
    <w:p>
      <w:pPr>
        <w:spacing w:after="121" w:line="360" w:lineRule="auto"/>
        <w:jc w:val="both"/>
      </w:pPr>
      <w:r>
        <w:rPr>
          <w:rFonts w:ascii="Times New Roman" w:cs="Times New Roman" w:eastAsia="Times New Roman" w:hAnsi="Times New Roman"/>
          <w:sz w:val="24"/>
          <w:szCs w:val="24"/>
        </w:rPr>
        <w:t xml:space="preserve">El dataset se genera con el script generar_dataset.py y se almacena en el archivo datos/ocupacion_mio.csv. Contiene 800 registros; cada uno representa una observación de la ocupación de una estación en un momento determinado. Se utiliza una semilla aleatoria fija (42), de modo que el archivo es reproducible: al ejecutar el script siempre se obtienen exactamente los mismos datos.</w:t>
      </w:r>
    </w:p>
    <w:p>
      <w:pPr>
        <w:spacing w:after="121" w:line="360" w:lineRule="auto"/>
        <w:jc w:val="both"/>
      </w:pPr>
      <w:r>
        <w:rPr>
          <w:rFonts w:ascii="Times New Roman" w:cs="Times New Roman" w:eastAsia="Times New Roman" w:hAnsi="Times New Roman"/>
          <w:sz w:val="24"/>
          <w:szCs w:val="24"/>
        </w:rPr>
        <w:t xml:space="preserve">Para cada registro se seleccionan aleatoriamente la estación, el tipo de día, la franja horaria, el clima y la presencia de un evento especial. A partir de esas condiciones se calcula un puntaje de demanda que suma el aporte de cada factor, según patrones conocidos del transporte masivo: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060"/>
      </w:tblGrid>
      <w:tr>
        <w:trPr>
          <w:tblHeader/>
        </w:trPr>
        <w:tc>
          <w:tcPr>
            <w:tcW w:type="dxa" w:w="24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Factor</w:t>
            </w:r>
          </w:p>
        </w:tc>
        <w:tc>
          <w:tcPr>
            <w:tcW w:type="dxa" w:w="39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Condición</w:t>
            </w:r>
          </w:p>
        </w:tc>
        <w:tc>
          <w:tcPr>
            <w:tcW w:type="dxa" w:w="306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Aporte al puntaje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Franja horaria</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Madrugada / Mediodía / Noche</w:t>
            </w:r>
          </w:p>
        </w:tc>
        <w:tc>
          <w:tcPr>
            <w:tcW w:type="dxa" w:w="3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0 / +1,0 / +0,5</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Franja horaria</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Mañana o tarde</w:t>
            </w:r>
          </w:p>
        </w:tc>
        <w:tc>
          <w:tcPr>
            <w:tcW w:type="dxa" w:w="3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+2,0</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Tipo de día</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Laboral / Sábado / Domingo o festivo</w:t>
            </w:r>
          </w:p>
        </w:tc>
        <w:tc>
          <w:tcPr>
            <w:tcW w:type="dxa" w:w="3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+1,0 / 0 / −1,0</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Tipo de estación</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Intermedia / Terminal / Transbordo</w:t>
            </w:r>
          </w:p>
        </w:tc>
        <w:tc>
          <w:tcPr>
            <w:tcW w:type="dxa" w:w="3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0 / +1,0 / +1,5</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Clima</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Lluvioso</w:t>
            </w:r>
          </w:p>
        </w:tc>
        <w:tc>
          <w:tcPr>
            <w:tcW w:type="dxa" w:w="3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+0,7</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Evento especial</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Sí</w:t>
            </w:r>
          </w:p>
        </w:tc>
        <w:tc>
          <w:tcPr>
            <w:tcW w:type="dxa" w:w="3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+1,5</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Ruido aleatorio</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Distribución normal</w:t>
            </w:r>
          </w:p>
        </w:tc>
        <w:tc>
          <w:tcPr>
            <w:tcW w:type="dxa" w:w="3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media 0, desviación 0,3</w:t>
            </w:r>
          </w:p>
        </w:tc>
      </w:tr>
    </w:tbl>
    <w:p>
      <w:pPr>
        <w:spacing w:after="200" w:before="60"/>
      </w:pPr>
      <w:r>
        <w:rPr>
          <w:rFonts w:ascii="Times New Roman" w:cs="Times New Roman" w:eastAsia="Times New Roman" w:hAnsi="Times New Roman"/>
          <w:i/>
          <w:iCs/>
          <w:sz w:val="20"/>
          <w:szCs w:val="20"/>
        </w:rPr>
        <w:t xml:space="preserve">Tabla 1. Aporte de cada factor al puntaje de demanda.</w:t>
      </w:r>
    </w:p>
    <w:p>
      <w:pPr>
        <w:spacing w:after="121" w:line="360" w:lineRule="auto"/>
        <w:jc w:val="both"/>
      </w:pPr>
      <w:r>
        <w:rPr>
          <w:rFonts w:ascii="Times New Roman" w:cs="Times New Roman" w:eastAsia="Times New Roman" w:hAnsi="Times New Roman"/>
          <w:sz w:val="24"/>
          <w:szCs w:val="24"/>
        </w:rPr>
        <w:t xml:space="preserve">Finalmente, el puntaje se convierte en la etiqueta de clase: menor a 1,5 corresponde a ocupación baja, entre 1,5 y 3,0 a media, y 3,0 o más a alta. El ruido aleatorio introduce variabilidad, de forma que condiciones similares no siempre producen la misma etiqueta, como ocurre en la realidad; esto evita que el problema sea trivial para el modelo.</w:t>
      </w:r>
    </w:p>
    <w:p>
      <w:pPr>
        <w:pStyle w:val="Heading1"/>
        <w:spacing w:after="120" w:before="240"/>
      </w:pPr>
      <w:r>
        <w:rPr>
          <w:rFonts w:ascii="Calibri" w:cs="Calibri" w:eastAsia="Calibri" w:hAnsi="Calibri"/>
          <w:color w:val="0F4761"/>
          <w:sz w:val="32"/>
          <w:szCs w:val="32"/>
        </w:rPr>
        <w:t xml:space="preserve">4. Diccionario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700"/>
        <w:gridCol w:w="3160"/>
      </w:tblGrid>
      <w:tr>
        <w:trPr>
          <w:tblHeader/>
        </w:trPr>
        <w:tc>
          <w:tcPr>
            <w:tcW w:type="dxa" w:w="20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Variable</w:t>
            </w:r>
          </w:p>
        </w:tc>
        <w:tc>
          <w:tcPr>
            <w:tcW w:type="dxa" w:w="15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Tipo</w:t>
            </w:r>
          </w:p>
        </w:tc>
        <w:tc>
          <w:tcPr>
            <w:tcW w:type="dxa" w:w="27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Valores</w:t>
            </w:r>
          </w:p>
        </w:tc>
        <w:tc>
          <w:tcPr>
            <w:tcW w:type="dxa" w:w="316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Descripción</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estacion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Categórica</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17 estaciones</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Estación del MIO donde se registra la ocupación.</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linea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Categórica</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L1, L2, L3, L1-L2, L2-L3</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Corredor al que pertenece la estación; las de transbordo pertenecen a dos.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tipo_estacion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Categórica</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intermedia, terminal, transbordo</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Clasificación de la estación según su función en la red.</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dia_tipo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Categórica</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laboral, sabado, domingo_festivo</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Tipo de día de la observación.</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franja_horaria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Categórica</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madrugada, manana, mediodia, tarde, noche</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Momento del día de la observación.</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hora_pico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Binaria</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si, no</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Es «si» cuando es día laboral en franja de mañana o tarde.</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clima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Binaria</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despejado, lluvioso</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Condición del clima en el momento de la observación.</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evento_especial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Binaria</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si, no</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Indica si hay un evento (partido, concierto) que aumente la demanda.</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nivel_ocupacion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Categórica (objetivo)</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baja, media, alta</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Variable a predecir: nivel de ocupación de la estación.</w:t>
            </w:r>
          </w:p>
        </w:tc>
      </w:tr>
    </w:tbl>
    <w:p>
      <w:pPr>
        <w:spacing w:after="200" w:before="60"/>
      </w:pPr>
      <w:r>
        <w:rPr>
          <w:rFonts w:ascii="Times New Roman" w:cs="Times New Roman" w:eastAsia="Times New Roman" w:hAnsi="Times New Roman"/>
          <w:i/>
          <w:iCs/>
          <w:sz w:val="20"/>
          <w:szCs w:val="20"/>
        </w:rPr>
        <w:t xml:space="preserve">Tabla 2. Diccionario de datos del archivo ocupacion_mio.csv.</w:t>
      </w:r>
    </w:p>
    <w:p>
      <w:pPr>
        <w:pStyle w:val="Heading1"/>
        <w:spacing w:after="120" w:before="240"/>
      </w:pPr>
      <w:r>
        <w:rPr>
          <w:rFonts w:ascii="Calibri" w:cs="Calibri" w:eastAsia="Calibri" w:hAnsi="Calibri"/>
          <w:color w:val="0F4761"/>
          <w:sz w:val="32"/>
          <w:szCs w:val="32"/>
        </w:rPr>
        <w:t xml:space="preserve">5. Variable objetivo</w:t>
      </w:r>
    </w:p>
    <w:p>
      <w:pPr>
        <w:spacing w:after="121" w:line="360" w:lineRule="auto"/>
        <w:jc w:val="both"/>
      </w:pPr>
      <w:r>
        <w:rPr>
          <w:rFonts w:ascii="Times New Roman" w:cs="Times New Roman" w:eastAsia="Times New Roman" w:hAnsi="Times New Roman"/>
          <w:sz w:val="24"/>
          <w:szCs w:val="24"/>
        </w:rPr>
        <w:t xml:space="preserve">La variable objetivo es nivel_ocupacion. Su distribución está equilibrada entre las tres clases, lo que favorece que el modelo aprenda a reconocer todas por igual y no se incline hacia una clase mayoritaria.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Clase</w:t>
            </w:r>
          </w:p>
        </w:tc>
        <w:tc>
          <w:tcPr>
            <w:tcW w:type="dxa" w:w="312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Registros</w:t>
            </w:r>
          </w:p>
        </w:tc>
        <w:tc>
          <w:tcPr>
            <w:tcW w:type="dxa" w:w="312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Porcentaje</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media</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317</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39,6 %</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alta</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245</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30,6 %</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baja</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238</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29,8 %</w:t>
            </w:r>
          </w:p>
        </w:tc>
      </w:tr>
      <w:t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Total</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800</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100 %</w:t>
            </w:r>
          </w:p>
        </w:tc>
      </w:tr>
    </w:tbl>
    <w:p>
      <w:pPr>
        <w:spacing w:after="200" w:before="60"/>
      </w:pPr>
      <w:r>
        <w:rPr>
          <w:rFonts w:ascii="Times New Roman" w:cs="Times New Roman" w:eastAsia="Times New Roman" w:hAnsi="Times New Roman"/>
          <w:i/>
          <w:iCs/>
          <w:sz w:val="20"/>
          <w:szCs w:val="20"/>
        </w:rPr>
        <w:t xml:space="preserve">Tabla 3. Distribución de la variable objetivo.</w:t>
      </w:r>
    </w:p>
    <w:p>
      <w:pPr>
        <w:pStyle w:val="Heading1"/>
        <w:spacing w:after="120" w:before="240"/>
      </w:pPr>
      <w:r>
        <w:rPr>
          <w:rFonts w:ascii="Calibri" w:cs="Calibri" w:eastAsia="Calibri" w:hAnsi="Calibri"/>
          <w:color w:val="0F4761"/>
          <w:sz w:val="32"/>
          <w:szCs w:val="32"/>
        </w:rPr>
        <w:t xml:space="preserve">6. Análisis exploratorio</w:t>
      </w:r>
    </w:p>
    <w:p>
      <w:pPr>
        <w:spacing w:after="121" w:line="360" w:lineRule="auto"/>
        <w:jc w:val="both"/>
      </w:pPr>
      <w:r>
        <w:rPr>
          <w:rFonts w:ascii="Times New Roman" w:cs="Times New Roman" w:eastAsia="Times New Roman" w:hAnsi="Times New Roman"/>
          <w:sz w:val="24"/>
          <w:szCs w:val="24"/>
        </w:rPr>
        <w:t xml:space="preserve">Las siguientes tablas cruzan algunas variables con el nivel de ocupación y permiten comprobar que los datos reflejan los patrones esperados.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Tipo de día</w:t>
            </w:r>
          </w:p>
        </w:tc>
        <w:tc>
          <w:tcPr>
            <w:tcW w:type="dxa" w:w="20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Alta</w:t>
            </w:r>
          </w:p>
        </w:tc>
        <w:tc>
          <w:tcPr>
            <w:tcW w:type="dxa" w:w="20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Media</w:t>
            </w:r>
          </w:p>
        </w:tc>
        <w:tc>
          <w:tcPr>
            <w:tcW w:type="dxa" w:w="20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Baja</w:t>
            </w:r>
          </w:p>
        </w:tc>
      </w:tr>
      <w:tr>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laboral</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224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209</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73</w:t>
            </w:r>
          </w:p>
        </w:tc>
      </w:tr>
      <w:tr>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sabado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18</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71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57</w:t>
            </w:r>
          </w:p>
        </w:tc>
      </w:tr>
      <w:tr>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domingo_festivo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37</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108</w:t>
            </w:r>
          </w:p>
        </w:tc>
      </w:tr>
    </w:tbl>
    <w:p>
      <w:pPr>
        <w:spacing w:after="200" w:before="60"/>
      </w:pPr>
      <w:r>
        <w:rPr>
          <w:rFonts w:ascii="Times New Roman" w:cs="Times New Roman" w:eastAsia="Times New Roman" w:hAnsi="Times New Roman"/>
          <w:i/>
          <w:iCs/>
          <w:sz w:val="20"/>
          <w:szCs w:val="20"/>
        </w:rPr>
        <w:t xml:space="preserve">Tabla 4. Ocupación según el tipo de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Hora pico</w:t>
            </w:r>
          </w:p>
        </w:tc>
        <w:tc>
          <w:tcPr>
            <w:tcW w:type="dxa" w:w="20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Alta</w:t>
            </w:r>
          </w:p>
        </w:tc>
        <w:tc>
          <w:tcPr>
            <w:tcW w:type="dxa" w:w="20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Media</w:t>
            </w:r>
          </w:p>
        </w:tc>
        <w:tc>
          <w:tcPr>
            <w:tcW w:type="dxa" w:w="20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Baja</w:t>
            </w:r>
          </w:p>
        </w:tc>
      </w:tr>
      <w:tr>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si</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164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0</w:t>
            </w:r>
          </w:p>
        </w:tc>
      </w:tr>
      <w:tr>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no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81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273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238</w:t>
            </w:r>
          </w:p>
        </w:tc>
      </w:tr>
    </w:tbl>
    <w:p>
      <w:pPr>
        <w:spacing w:after="200" w:before="60"/>
      </w:pPr>
      <w:r>
        <w:rPr>
          <w:rFonts w:ascii="Times New Roman" w:cs="Times New Roman" w:eastAsia="Times New Roman" w:hAnsi="Times New Roman"/>
          <w:i/>
          <w:iCs/>
          <w:sz w:val="20"/>
          <w:szCs w:val="20"/>
        </w:rPr>
        <w:t xml:space="preserve">Tabla 5. Ocupación según hora pico.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Franja horaria</w:t>
            </w:r>
          </w:p>
        </w:tc>
        <w:tc>
          <w:tcPr>
            <w:tcW w:type="dxa" w:w="20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Alta</w:t>
            </w:r>
          </w:p>
        </w:tc>
        <w:tc>
          <w:tcPr>
            <w:tcW w:type="dxa" w:w="20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Media</w:t>
            </w:r>
          </w:p>
        </w:tc>
        <w:tc>
          <w:tcPr>
            <w:tcW w:type="dxa" w:w="20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Baja</w:t>
            </w:r>
          </w:p>
        </w:tc>
      </w:tr>
      <w:tr>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madrugada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106</w:t>
            </w:r>
          </w:p>
        </w:tc>
      </w:tr>
      <w:tr>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manana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89</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17</w:t>
            </w:r>
          </w:p>
        </w:tc>
      </w:tr>
      <w:tr>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mediodia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67</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36</w:t>
            </w:r>
          </w:p>
        </w:tc>
      </w:tr>
      <w:tr>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tarde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91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59</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12</w:t>
            </w:r>
          </w:p>
        </w:tc>
      </w:tr>
      <w:tr>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noche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88</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67</w:t>
            </w:r>
          </w:p>
        </w:tc>
      </w:tr>
    </w:tbl>
    <w:p>
      <w:pPr>
        <w:spacing w:after="200" w:before="60"/>
      </w:pPr>
      <w:r>
        <w:rPr>
          <w:rFonts w:ascii="Times New Roman" w:cs="Times New Roman" w:eastAsia="Times New Roman" w:hAnsi="Times New Roman"/>
          <w:i/>
          <w:iCs/>
          <w:sz w:val="20"/>
          <w:szCs w:val="20"/>
        </w:rPr>
        <w:t xml:space="preserve">Tabla 6. Ocupación según la franja horaria.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Tipo de estación</w:t>
            </w:r>
          </w:p>
        </w:tc>
        <w:tc>
          <w:tcPr>
            <w:tcW w:type="dxa" w:w="20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Alta</w:t>
            </w:r>
          </w:p>
        </w:tc>
        <w:tc>
          <w:tcPr>
            <w:tcW w:type="dxa" w:w="20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Media</w:t>
            </w:r>
          </w:p>
        </w:tc>
        <w:tc>
          <w:tcPr>
            <w:tcW w:type="dxa" w:w="2000"/>
            <w:tcBorders>
              <w:top w:val="single" w:color="A6A6A6" w:sz="4"/>
              <w:left w:val="single" w:color="A6A6A6" w:sz="4"/>
              <w:bottom w:val="single" w:color="A6A6A6" w:sz="4"/>
              <w:right w:val="single" w:color="A6A6A6" w:sz="4"/>
            </w:tcBorders>
            <w:shd w:fill="0F4761"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Baja</w:t>
            </w:r>
          </w:p>
        </w:tc>
      </w:tr>
      <w:tr>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transbordo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27</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9</w:t>
            </w:r>
          </w:p>
        </w:tc>
      </w:tr>
      <w:tr>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terminal</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72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73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31</w:t>
            </w:r>
          </w:p>
        </w:tc>
      </w:tr>
      <w:tr>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intermedia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112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217</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198</w:t>
            </w:r>
          </w:p>
        </w:tc>
      </w:tr>
    </w:tbl>
    <w:p>
      <w:pPr>
        <w:spacing w:after="200" w:before="60"/>
      </w:pPr>
      <w:r>
        <w:rPr>
          <w:rFonts w:ascii="Times New Roman" w:cs="Times New Roman" w:eastAsia="Times New Roman" w:hAnsi="Times New Roman"/>
          <w:i/>
          <w:iCs/>
          <w:sz w:val="20"/>
          <w:szCs w:val="20"/>
        </w:rPr>
        <w:t xml:space="preserve">Tabla 7. Ocupación según el tipo de estación.</w:t>
      </w:r>
    </w:p>
    <w:p>
      <w:pPr>
        <w:spacing w:after="121" w:line="360" w:lineRule="auto"/>
        <w:jc w:val="both"/>
      </w:pPr>
      <w:r>
        <w:rPr>
          <w:rFonts w:ascii="Times New Roman" w:cs="Times New Roman" w:eastAsia="Times New Roman" w:hAnsi="Times New Roman"/>
          <w:sz w:val="24"/>
          <w:szCs w:val="24"/>
        </w:rPr>
        <w:t xml:space="preserve">Se observa que la hora pico nunca registra ocupación baja, que los domingos y festivos casi nunca alcanzan ocupación alta, que la madrugada concentra la ocupación baja y que las estaciones de transbordo son las de mayor demanda. Estas relaciones son las que el árbol de decisión deberá aprender a partir de los datos.</w:t>
      </w:r>
    </w:p>
    <w:p>
      <w:pPr>
        <w:pStyle w:val="Heading1"/>
        <w:spacing w:after="120" w:before="240"/>
      </w:pPr>
      <w:r>
        <w:rPr>
          <w:rFonts w:ascii="Calibri" w:cs="Calibri" w:eastAsia="Calibri" w:hAnsi="Calibri"/>
          <w:color w:val="0F4761"/>
          <w:sz w:val="32"/>
          <w:szCs w:val="32"/>
        </w:rPr>
        <w:t xml:space="preserve">7. Calidad y preparación de los datos</w:t>
      </w:r>
    </w:p>
    <w:p>
      <w:pPr>
        <w:spacing w:after="121" w:line="360" w:lineRule="auto"/>
        <w:jc w:val="both"/>
      </w:pPr>
      <w:r>
        <w:rPr>
          <w:rFonts w:ascii="Times New Roman" w:cs="Times New Roman" w:eastAsia="Times New Roman" w:hAnsi="Times New Roman"/>
          <w:sz w:val="24"/>
          <w:szCs w:val="24"/>
        </w:rPr>
        <w:t xml:space="preserve">1. El dataset no presenta valores nulos ni datos faltantes: los 800 registros tienen las 9 columnas completas.</w:t>
      </w:r>
    </w:p>
    <w:p>
      <w:pPr>
        <w:spacing w:after="121" w:line="360" w:lineRule="auto"/>
        <w:jc w:val="both"/>
      </w:pPr>
      <w:r>
        <w:rPr>
          <w:rFonts w:ascii="Times New Roman" w:cs="Times New Roman" w:eastAsia="Times New Roman" w:hAnsi="Times New Roman"/>
          <w:sz w:val="24"/>
          <w:szCs w:val="24"/>
        </w:rPr>
        <w:t xml:space="preserve">2. Todas las variables son categóricas, por lo que antes del entrenamiento se transforman en variables numéricas mediante codificación one-hot (una columna binaria por cada valor posible), formato que requiere la librería scikit-learn.</w:t>
      </w:r>
    </w:p>
    <w:p>
      <w:pPr>
        <w:spacing w:after="121" w:line="360" w:lineRule="auto"/>
        <w:jc w:val="both"/>
      </w:pPr>
      <w:r>
        <w:rPr>
          <w:rFonts w:ascii="Times New Roman" w:cs="Times New Roman" w:eastAsia="Times New Roman" w:hAnsi="Times New Roman"/>
          <w:sz w:val="24"/>
          <w:szCs w:val="24"/>
        </w:rPr>
        <w:t xml:space="preserve">3. Algunas combinaciones de condiciones se repiten en varios registros. Esto es esperado, ya que cada fila es una observación independiente en un momento distinto, y por efecto del ruido una misma combinación puede presentar niveles de ocupación diferentes.</w:t>
      </w:r>
    </w:p>
    <w:p>
      <w:pPr>
        <w:spacing w:after="121" w:line="360" w:lineRule="auto"/>
        <w:jc w:val="both"/>
      </w:pPr>
      <w:r>
        <w:rPr>
          <w:rFonts w:ascii="Times New Roman" w:cs="Times New Roman" w:eastAsia="Times New Roman" w:hAnsi="Times New Roman"/>
          <w:sz w:val="24"/>
          <w:szCs w:val="24"/>
        </w:rPr>
        <w:t xml:space="preserve">4. Para el entrenamiento, los datos se dividen en 70 % para entrenamiento y 30 % para prueba, conservando la proporción de cada clase.</w:t>
      </w:r>
    </w:p>
    <w:p>
      <w:pPr>
        <w:pStyle w:val="Heading1"/>
        <w:spacing w:after="120" w:before="240"/>
      </w:pPr>
      <w:r>
        <w:rPr>
          <w:rFonts w:ascii="Calibri" w:cs="Calibri" w:eastAsia="Calibri" w:hAnsi="Calibri"/>
          <w:color w:val="0F4761"/>
          <w:sz w:val="32"/>
          <w:szCs w:val="32"/>
        </w:rPr>
        <w:t xml:space="preserve">8. Archivos de la fuente de datos</w:t>
      </w:r>
    </w:p>
    <w:p>
      <w:pPr>
        <w:spacing w:after="121" w:line="360" w:lineRule="auto"/>
        <w:jc w:val="both"/>
      </w:pPr>
      <w:r>
        <w:rPr>
          <w:rFonts w:ascii="Times New Roman" w:cs="Times New Roman" w:eastAsia="Times New Roman" w:hAnsi="Times New Roman"/>
          <w:sz w:val="24"/>
          <w:szCs w:val="24"/>
        </w:rPr>
        <w:t xml:space="preserve">1. datos/ocupacion_mio.csv: archivo con los 800 registros del dataset, en formato CSV separado por comas y codificación UTF-8.</w:t>
      </w:r>
    </w:p>
    <w:p>
      <w:pPr>
        <w:spacing w:after="121" w:line="360" w:lineRule="auto"/>
        <w:jc w:val="both"/>
      </w:pPr>
      <w:r>
        <w:rPr>
          <w:rFonts w:ascii="Times New Roman" w:cs="Times New Roman" w:eastAsia="Times New Roman" w:hAnsi="Times New Roman"/>
          <w:sz w:val="24"/>
          <w:szCs w:val="24"/>
        </w:rPr>
        <w:t xml:space="preserve">2. generar_dataset.py: script en Python que construye el dataset y permite regenerarlo con el comando python generar_dataset.py.</w:t>
      </w:r>
    </w:p>
    <w:p>
      <w:pPr>
        <w:pStyle w:val="Heading1"/>
        <w:spacing w:after="120" w:before="240"/>
      </w:pPr>
      <w:r>
        <w:rPr>
          <w:rFonts w:ascii="Calibri" w:cs="Calibri" w:eastAsia="Calibri" w:hAnsi="Calibri"/>
          <w:color w:val="0F4761"/>
          <w:sz w:val="32"/>
          <w:szCs w:val="32"/>
        </w:rPr>
        <w:t xml:space="preserve">Referencias</w:t>
      </w:r>
    </w:p>
    <w:p>
      <w:pPr>
        <w:spacing w:after="121" w:line="360" w:lineRule="auto"/>
        <w:jc w:val="both"/>
      </w:pPr>
      <w:r>
        <w:rPr>
          <w:rFonts w:ascii="Times New Roman" w:cs="Times New Roman" w:eastAsia="Times New Roman" w:hAnsi="Times New Roman"/>
          <w:sz w:val="24"/>
          <w:szCs w:val="24"/>
        </w:rPr>
        <w:t xml:space="preserve">Metrocali S.A. (s.f.). Sistema de Transporte Masivo MIO. https://www.metrocali.gov.co/</w:t>
      </w:r>
    </w:p>
    <w:p>
      <w:pPr>
        <w:spacing w:after="121" w:line="360" w:lineRule="auto"/>
        <w:jc w:val="both"/>
      </w:pPr>
      <w:r>
        <w:rPr>
          <w:rFonts w:ascii="Times New Roman" w:cs="Times New Roman" w:eastAsia="Times New Roman" w:hAnsi="Times New Roman"/>
          <w:sz w:val="24"/>
          <w:szCs w:val="24"/>
        </w:rPr>
        <w:t xml:space="preserve">Gobierno de Colombia. (s.f.). Portal de datos abiertos. https://www.datos.gov.co/</w:t>
      </w:r>
    </w:p>
    <w:p>
      <w:pPr>
        <w:spacing w:after="121" w:line="360" w:lineRule="auto"/>
        <w:jc w:val="both"/>
      </w:pPr>
      <w:r>
        <w:rPr>
          <w:rFonts w:ascii="Times New Roman" w:cs="Times New Roman" w:eastAsia="Times New Roman" w:hAnsi="Times New Roman"/>
          <w:sz w:val="24"/>
          <w:szCs w:val="24"/>
        </w:rPr>
        <w:t xml:space="preserve">Palma Méndez, J. T. (2008). Inteligencia artificial: métodos, técnicas y aplicaciones. McGraw-Hill España.</w:t>
      </w:r>
    </w:p>
    <w:p>
      <w:pPr>
        <w:spacing w:after="121" w:line="360" w:lineRule="auto"/>
        <w:jc w:val="both"/>
      </w:pPr>
      <w:r>
        <w:rPr>
          <w:rFonts w:ascii="Times New Roman" w:cs="Times New Roman" w:eastAsia="Times New Roman" w:hAnsi="Times New Roman"/>
          <w:sz w:val="24"/>
          <w:szCs w:val="24"/>
        </w:rPr>
        <w:t xml:space="preserve">Pedregosa, F., Varoquaux, G., Gramfort, A., y otros. (2011). Scikit-learn: Machine Learning in Python. Journal of Machine Learning Research, 12, 2825-2830.</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color w:val="0F4761"/>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57192e6ecf265f5ea70caf84f92dd4489538328a.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2026-10-10T14:19:41.308Z</dcterms:created>
  <dcterms:modified xsi:type="dcterms:W3CDTF">2026-10-10T14:19:41.313Z</dcterms:modified>
</cp:coreProperties>
</file>

<file path=docProps/custom.xml><?xml version="1.0" encoding="utf-8"?>
<Properties xmlns="http://schemas.openxmlformats.org/officeDocument/2006/custom-properties" xmlns:vt="http://schemas.openxmlformats.org/officeDocument/2006/docPropsVTypes"/>
</file>