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2D23CEA2" w14:textId="699E975B" w:rsidR="00AA181E"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w:t>
      </w:r>
      <w:r w:rsidR="00A55D66">
        <w:rPr>
          <w:rFonts w:ascii="Times New Roman" w:hAnsi="Times New Roman"/>
          <w:sz w:val="24"/>
        </w:rPr>
        <w:t>It is different from personalization because customization is done directly by the user who is asked to identify their preferences and; therefore,</w:t>
      </w:r>
      <w:r w:rsidR="00155D5B">
        <w:rPr>
          <w:rFonts w:ascii="Times New Roman" w:hAnsi="Times New Roman"/>
          <w:sz w:val="24"/>
        </w:rPr>
        <w:t xml:space="preserve"> they</w:t>
      </w:r>
      <w:r w:rsidR="00A55D66">
        <w:rPr>
          <w:rFonts w:ascii="Times New Roman" w:hAnsi="Times New Roman"/>
          <w:sz w:val="24"/>
        </w:rPr>
        <w:t xml:space="preserve"> are shown things that they used to enjoy</w:t>
      </w:r>
      <w:sdt>
        <w:sdtPr>
          <w:rPr>
            <w:rFonts w:ascii="Times New Roman" w:hAnsi="Times New Roman"/>
            <w:sz w:val="24"/>
          </w:rPr>
          <w:id w:val="987672162"/>
          <w:citation/>
        </w:sdtPr>
        <w:sdtContent>
          <w:r w:rsidR="00F00CA2">
            <w:rPr>
              <w:rFonts w:ascii="Times New Roman" w:hAnsi="Times New Roman"/>
              <w:sz w:val="24"/>
            </w:rPr>
            <w:fldChar w:fldCharType="begin"/>
          </w:r>
          <w:r w:rsidR="00F00CA2" w:rsidRPr="00F00CA2">
            <w:rPr>
              <w:rFonts w:ascii="Times New Roman" w:hAnsi="Times New Roman"/>
              <w:sz w:val="24"/>
            </w:rPr>
            <w:instrText xml:space="preserve"> CITATION Muh22 \l 9226 </w:instrText>
          </w:r>
          <w:r w:rsidR="00F00CA2">
            <w:rPr>
              <w:rFonts w:ascii="Times New Roman" w:hAnsi="Times New Roman"/>
              <w:sz w:val="24"/>
            </w:rPr>
            <w:fldChar w:fldCharType="separate"/>
          </w:r>
          <w:r w:rsidR="00F00CA2" w:rsidRPr="00F00CA2">
            <w:rPr>
              <w:rFonts w:ascii="Times New Roman" w:hAnsi="Times New Roman"/>
              <w:noProof/>
              <w:sz w:val="24"/>
            </w:rPr>
            <w:t xml:space="preserve"> (Muhammad, 2022)</w:t>
          </w:r>
          <w:r w:rsidR="00F00CA2">
            <w:rPr>
              <w:rFonts w:ascii="Times New Roman" w:hAnsi="Times New Roman"/>
              <w:sz w:val="24"/>
            </w:rPr>
            <w:fldChar w:fldCharType="end"/>
          </w:r>
        </w:sdtContent>
      </w:sdt>
      <w:r w:rsidR="00A55D66">
        <w:rPr>
          <w:rFonts w:ascii="Times New Roman" w:hAnsi="Times New Roman"/>
          <w:sz w:val="24"/>
        </w:rPr>
        <w:t xml:space="preserve">. </w:t>
      </w:r>
      <w:r w:rsidR="00155D5B">
        <w:rPr>
          <w:rFonts w:ascii="Times New Roman" w:hAnsi="Times New Roman"/>
          <w:sz w:val="24"/>
        </w:rPr>
        <w:t xml:space="preserve">In order to ensure a valid measurement,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xml:space="preserve">. Given the </w:t>
      </w:r>
      <w:r w:rsidR="00F00CA2">
        <w:rPr>
          <w:rFonts w:ascii="Times New Roman" w:hAnsi="Times New Roman"/>
          <w:sz w:val="24"/>
        </w:rPr>
        <w:t>endless solution spaces of even basic mass customization configurations</w:t>
      </w:r>
      <w:r w:rsidR="00BC6024">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definitely a local optimum, if not an almost random choice. </w:t>
      </w:r>
    </w:p>
    <w:p w14:paraId="042160D1" w14:textId="4137B537"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r>
      <w:r w:rsidR="00B4753F" w:rsidRPr="00B4753F">
        <w:rPr>
          <w:rFonts w:ascii="Times New Roman" w:hAnsi="Times New Roman"/>
          <w:sz w:val="24"/>
        </w:rPr>
        <w:t>Mass customization refers to the ability to quickly design, produce and delivery products that meet specific customer needs at close to mass-production prices (</w:t>
      </w:r>
      <w:bookmarkStart w:id="2" w:name="_Hlk118022832"/>
      <w:proofErr w:type="spellStart"/>
      <w:r w:rsidR="00B4753F" w:rsidRPr="00B4753F">
        <w:rPr>
          <w:rFonts w:ascii="Times New Roman" w:hAnsi="Times New Roman"/>
          <w:sz w:val="24"/>
        </w:rPr>
        <w:t>Puligadda</w:t>
      </w:r>
      <w:proofErr w:type="spellEnd"/>
      <w:r w:rsidR="00B4753F" w:rsidRPr="00B4753F">
        <w:rPr>
          <w:rFonts w:ascii="Times New Roman" w:hAnsi="Times New Roman"/>
          <w:sz w:val="24"/>
        </w:rPr>
        <w:t xml:space="preserve"> et al., 2010).  </w:t>
      </w:r>
      <w:bookmarkEnd w:id="2"/>
      <w:r w:rsidR="00B4753F">
        <w:rPr>
          <w:rFonts w:ascii="Times New Roman" w:hAnsi="Times New Roman"/>
          <w:sz w:val="24"/>
        </w:rPr>
        <w:t>Additionally, m</w:t>
      </w:r>
      <w:r>
        <w:rPr>
          <w:rFonts w:ascii="Times New Roman" w:hAnsi="Times New Roman"/>
          <w:sz w:val="24"/>
        </w:rPr>
        <w:t xml:space="preserve">ass customization configuration refers to the outline or arrangement of the different product components that can be mass customized </w:t>
      </w:r>
      <w:bookmarkStart w:id="3" w:name="_Hlk118022848"/>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xml:space="preserve">. </w:t>
      </w:r>
      <w:bookmarkEnd w:id="3"/>
      <w:r w:rsidR="00D35A39">
        <w:rPr>
          <w:rFonts w:ascii="Times New Roman" w:hAnsi="Times New Roman"/>
          <w:sz w:val="24"/>
        </w:rPr>
        <w:t xml:space="preserve">According to </w:t>
      </w:r>
      <w:bookmarkStart w:id="4" w:name="_Hlk118022873"/>
      <w:r w:rsidR="00D35A39">
        <w:rPr>
          <w:rFonts w:ascii="Times New Roman" w:hAnsi="Times New Roman"/>
          <w:sz w:val="24"/>
        </w:rPr>
        <w:t xml:space="preserve">Schreier (2006) </w:t>
      </w:r>
      <w:bookmarkEnd w:id="4"/>
      <w:r w:rsidR="00D35A39">
        <w:rPr>
          <w:rFonts w:ascii="Times New Roman" w:hAnsi="Times New Roman"/>
          <w:sz w:val="24"/>
        </w:rPr>
        <w:t xml:space="preserve">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 </w:t>
      </w:r>
      <w:r w:rsidR="00257625">
        <w:rPr>
          <w:rFonts w:ascii="Times New Roman" w:hAnsi="Times New Roman"/>
          <w:sz w:val="24"/>
        </w:rPr>
        <w:t>Based on the previous definitions and statements, it is possible to conclude that the number of product components available to be customized is</w:t>
      </w:r>
      <w:r w:rsidR="00960C98">
        <w:rPr>
          <w:rFonts w:ascii="Times New Roman" w:hAnsi="Times New Roman"/>
          <w:sz w:val="24"/>
        </w:rPr>
        <w:t xml:space="preserve"> a </w:t>
      </w:r>
      <w:r w:rsidR="00257625">
        <w:rPr>
          <w:rFonts w:ascii="Times New Roman" w:hAnsi="Times New Roman"/>
          <w:sz w:val="24"/>
        </w:rPr>
        <w:t xml:space="preserve">core element within mass customization configuration context. Mass customization </w:t>
      </w:r>
      <w:r w:rsidR="00960C98">
        <w:rPr>
          <w:rFonts w:ascii="Times New Roman" w:hAnsi="Times New Roman"/>
          <w:sz w:val="24"/>
        </w:rPr>
        <w:t>configurations</w:t>
      </w:r>
      <w:r w:rsidR="00257625">
        <w:rPr>
          <w:rFonts w:ascii="Times New Roman" w:hAnsi="Times New Roman"/>
          <w:sz w:val="24"/>
        </w:rPr>
        <w:t xml:space="preserve"> may </w:t>
      </w:r>
      <w:r w:rsidR="00665AAA">
        <w:rPr>
          <w:rFonts w:ascii="Times New Roman" w:hAnsi="Times New Roman"/>
          <w:sz w:val="24"/>
        </w:rPr>
        <w:t>differ</w:t>
      </w:r>
      <w:r w:rsidR="00257625">
        <w:rPr>
          <w:rFonts w:ascii="Times New Roman" w:hAnsi="Times New Roman"/>
          <w:sz w:val="24"/>
        </w:rPr>
        <w:t xml:space="preserve">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p>
    <w:p w14:paraId="6329EB77" w14:textId="77777777" w:rsidR="00665AAA" w:rsidRDefault="00665AAA" w:rsidP="00527854">
      <w:pPr>
        <w:spacing w:before="1" w:line="360" w:lineRule="auto"/>
        <w:ind w:right="117"/>
        <w:jc w:val="both"/>
        <w:rPr>
          <w:rFonts w:ascii="Times New Roman" w:hAnsi="Times New Roman"/>
          <w:sz w:val="24"/>
        </w:rPr>
      </w:pPr>
    </w:p>
    <w:p w14:paraId="3EE73005" w14:textId="77777777" w:rsidR="00257625" w:rsidRPr="00527854" w:rsidRDefault="00257625" w:rsidP="00527854">
      <w:pPr>
        <w:spacing w:before="1" w:line="360" w:lineRule="auto"/>
        <w:ind w:right="117"/>
        <w:jc w:val="both"/>
        <w:rPr>
          <w:rFonts w:ascii="Times New Roman" w:hAnsi="Times New Roman"/>
          <w:sz w:val="24"/>
        </w:rPr>
      </w:pPr>
    </w:p>
    <w:p w14:paraId="3371C691" w14:textId="287FCB43"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5378CB3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C18F072" w14:textId="215110E9" w:rsidR="00D26123" w:rsidRDefault="00D26123" w:rsidP="00BF5BEC">
      <w:pPr>
        <w:spacing w:before="1" w:line="360" w:lineRule="auto"/>
        <w:ind w:right="117" w:firstLine="720"/>
        <w:jc w:val="both"/>
        <w:rPr>
          <w:rFonts w:ascii="Times New Roman" w:hAnsi="Times New Roman"/>
          <w:sz w:val="24"/>
        </w:rPr>
      </w:pPr>
      <w:r>
        <w:rPr>
          <w:rFonts w:ascii="Times New Roman" w:hAnsi="Times New Roman"/>
          <w:sz w:val="24"/>
        </w:rPr>
        <w:t xml:space="preserve">As it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willingness to pay is a variable positively related with psychological ownership</w:t>
      </w:r>
      <w:r w:rsidR="00EF1CD1">
        <w:rPr>
          <w:rFonts w:ascii="Times New Roman" w:hAnsi="Times New Roman"/>
          <w:sz w:val="24"/>
        </w:rPr>
        <w:t xml:space="preserve"> and</w:t>
      </w:r>
      <w:r>
        <w:rPr>
          <w:rFonts w:ascii="Times New Roman" w:hAnsi="Times New Roman"/>
          <w:sz w:val="24"/>
        </w:rPr>
        <w:t xml:space="preserve">, based on the research previously described, where it was found a positive relationship between level of customization and willingness to pay, </w:t>
      </w:r>
      <w:r w:rsidR="00EF1CD1">
        <w:rPr>
          <w:rFonts w:ascii="Times New Roman" w:hAnsi="Times New Roman"/>
          <w:sz w:val="24"/>
        </w:rPr>
        <w:t>it is expected that level of customization could affect, in the same way as WTP, the emotional link developed by customers toward products called psychological ownership.</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4006890D" w14:textId="31B0FB19" w:rsidR="003721F2" w:rsidRDefault="00527854" w:rsidP="000D28D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w:t>
      </w:r>
      <w:r w:rsidR="00665AAA">
        <w:rPr>
          <w:b w:val="0"/>
          <w:bCs w:val="0"/>
        </w:rPr>
        <w:t xml:space="preserve"> P</w:t>
      </w:r>
      <w:r w:rsidR="00A67C4D">
        <w:rPr>
          <w:b w:val="0"/>
          <w:bCs w:val="0"/>
        </w:rPr>
        <w:t>roduct feature is a component of a product that fulfills a customer need. Feature</w:t>
      </w:r>
      <w:r w:rsidR="000D28D7">
        <w:rPr>
          <w:b w:val="0"/>
          <w:bCs w:val="0"/>
        </w:rPr>
        <w:t>s</w:t>
      </w:r>
      <w:r w:rsidR="00A67C4D">
        <w:rPr>
          <w:b w:val="0"/>
          <w:bCs w:val="0"/>
        </w:rPr>
        <w:t xml:space="preserv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w:t>
      </w:r>
      <w:r w:rsidR="000D28D7">
        <w:rPr>
          <w:b w:val="0"/>
          <w:bCs w:val="0"/>
        </w:rPr>
        <w:t xml:space="preserve"> </w:t>
      </w:r>
      <w:r>
        <w:rPr>
          <w:b w:val="0"/>
          <w:bCs w:val="0"/>
        </w:rPr>
        <w:t xml:space="preserve">In accordance with the purposes of this research, type of features used to customize products is going to be classified in two conditions: hedonic and utilitarian. </w:t>
      </w:r>
    </w:p>
    <w:p w14:paraId="711112FB" w14:textId="5C86E05D" w:rsidR="003721F2" w:rsidRDefault="003721F2" w:rsidP="003721F2">
      <w:pPr>
        <w:pStyle w:val="Heading3"/>
        <w:spacing w:before="1" w:line="360" w:lineRule="auto"/>
        <w:ind w:firstLine="520"/>
        <w:jc w:val="both"/>
        <w:rPr>
          <w:b w:val="0"/>
          <w:bCs w:val="0"/>
        </w:rPr>
      </w:pPr>
      <w:r>
        <w:rPr>
          <w:b w:val="0"/>
          <w:bCs w:val="0"/>
        </w:rPr>
        <w:t xml:space="preserve">This classification has been done based on the fact that consumption is supported by two main reasons strongly related with both concepts. According </w:t>
      </w:r>
      <w:r w:rsidR="00A66357">
        <w:rPr>
          <w:b w:val="0"/>
          <w:bCs w:val="0"/>
        </w:rPr>
        <w:t>to</w:t>
      </w:r>
      <w:r w:rsidR="00A66357" w:rsidRPr="00A66357">
        <w:rPr>
          <w:b w:val="0"/>
          <w:bCs w:val="0"/>
        </w:rPr>
        <w:t xml:space="preserve"> </w:t>
      </w:r>
      <w:bookmarkStart w:id="6" w:name="_Hlk118022975"/>
      <w:r w:rsidR="00A66357" w:rsidRPr="00A66357">
        <w:rPr>
          <w:b w:val="0"/>
          <w:bCs w:val="0"/>
        </w:rPr>
        <w:t>Batra</w:t>
      </w:r>
      <w:r w:rsidR="000C0D0C" w:rsidRPr="000C0D0C">
        <w:rPr>
          <w:b w:val="0"/>
          <w:bCs w:val="0"/>
        </w:rPr>
        <w:t xml:space="preserve"> &amp; </w:t>
      </w:r>
      <w:proofErr w:type="spellStart"/>
      <w:r w:rsidR="000C0D0C" w:rsidRPr="000C0D0C">
        <w:rPr>
          <w:b w:val="0"/>
          <w:bCs w:val="0"/>
        </w:rPr>
        <w:t>Ahtola</w:t>
      </w:r>
      <w:proofErr w:type="spellEnd"/>
      <w:r w:rsidR="000C0D0C">
        <w:rPr>
          <w:b w:val="0"/>
          <w:bCs w:val="0"/>
        </w:rPr>
        <w:t xml:space="preserve"> (1990)</w:t>
      </w:r>
      <w:r>
        <w:rPr>
          <w:b w:val="0"/>
          <w:bCs w:val="0"/>
        </w:rPr>
        <w:t xml:space="preserve"> </w:t>
      </w:r>
      <w:bookmarkEnd w:id="6"/>
      <w:r>
        <w:rPr>
          <w:b w:val="0"/>
          <w:bCs w:val="0"/>
        </w:rPr>
        <w:t xml:space="preserve">the purchasing and consumer behavior, of the customers, is driven by two main elements: consummatory (hedonic) </w:t>
      </w:r>
      <w:r w:rsidR="000C0D0C">
        <w:rPr>
          <w:b w:val="0"/>
          <w:bCs w:val="0"/>
        </w:rPr>
        <w:t>gratification, mainly triggered by sensory attributes</w:t>
      </w:r>
      <w:r w:rsidR="00A66357">
        <w:rPr>
          <w:b w:val="0"/>
          <w:bCs w:val="0"/>
        </w:rPr>
        <w:t>;</w:t>
      </w:r>
      <w:r w:rsidR="000C0D0C">
        <w:rPr>
          <w:b w:val="0"/>
          <w:bCs w:val="0"/>
        </w:rPr>
        <w:t xml:space="preserve"> and instrumental (utilitarian) motivated by expectations of consequences. Based on the previous statement, it is possible to differentiate both concepts within a consumption context. Hedonic experiences are intrinsically motivated and fulfilling and for this reason are sought after as a final destination. On the other hand, utilitarian </w:t>
      </w:r>
      <w:r w:rsidR="00A66357">
        <w:rPr>
          <w:b w:val="0"/>
          <w:bCs w:val="0"/>
        </w:rPr>
        <w:t>experiences</w:t>
      </w:r>
      <w:r w:rsidR="000C0D0C">
        <w:rPr>
          <w:b w:val="0"/>
          <w:bCs w:val="0"/>
        </w:rPr>
        <w:t xml:space="preserve"> are extrinsically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bookmarkStart w:id="7" w:name="_Hlk118022996"/>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bookmarkEnd w:id="7"/>
      <w:r w:rsidR="00A66357">
        <w:rPr>
          <w:b w:val="0"/>
          <w:bCs w:val="0"/>
        </w:rPr>
        <w:t>.</w:t>
      </w:r>
    </w:p>
    <w:p w14:paraId="0B1204E9" w14:textId="5C8CC69F"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bookmarkStart w:id="8" w:name="_Hlk118023104"/>
      <w:r w:rsidR="00B70F3D" w:rsidRPr="00B70F3D">
        <w:rPr>
          <w:b w:val="0"/>
          <w:bCs w:val="0"/>
        </w:rPr>
        <w:t>Crowley</w:t>
      </w:r>
      <w:r w:rsidR="00B70F3D">
        <w:rPr>
          <w:b w:val="0"/>
          <w:bCs w:val="0"/>
        </w:rPr>
        <w:t xml:space="preserve"> et al (1992)</w:t>
      </w:r>
      <w:r>
        <w:rPr>
          <w:b w:val="0"/>
          <w:bCs w:val="0"/>
        </w:rPr>
        <w:t xml:space="preserve"> </w:t>
      </w:r>
      <w:bookmarkEnd w:id="8"/>
      <w:r>
        <w:rPr>
          <w:b w:val="0"/>
          <w:bCs w:val="0"/>
        </w:rPr>
        <w:t xml:space="preserve">where they were able to develop a framework in regards of the bidimensional (hedonic/utilitarian) approach to comprehend consumer attitudes towards product categories, the present paper pretends to take a step further in order to apply this bidimensional </w:t>
      </w:r>
      <w:r w:rsidR="00B70F3D">
        <w:rPr>
          <w:b w:val="0"/>
          <w:bCs w:val="0"/>
        </w:rPr>
        <w:t xml:space="preserve">framework toward a more specific approach based on the features that could be used to customize products. </w:t>
      </w:r>
      <w:r w:rsidR="002265A1">
        <w:rPr>
          <w:b w:val="0"/>
          <w:bCs w:val="0"/>
        </w:rPr>
        <w:t>As it was done before in a wider context focused on consumption, the differentiation of both concepts also could be done</w:t>
      </w:r>
      <w:r w:rsidR="009A0164">
        <w:rPr>
          <w:b w:val="0"/>
          <w:bCs w:val="0"/>
        </w:rPr>
        <w:t xml:space="preserve"> starting from a feature approximation. While h</w:t>
      </w:r>
      <w:r w:rsidR="00527854">
        <w:rPr>
          <w:b w:val="0"/>
          <w:bCs w:val="0"/>
        </w:rPr>
        <w:t xml:space="preserve">edonic features are those linked with a sensory experience of aesthetic or sensual pleasure and fun; utilitarian attributes are those orientated to a specific goal </w:t>
      </w:r>
      <w:r w:rsidR="00527854">
        <w:rPr>
          <w:b w:val="0"/>
          <w:bCs w:val="0"/>
        </w:rPr>
        <w:lastRenderedPageBreak/>
        <w:t xml:space="preserve">and with the accomplishment of a practical task </w:t>
      </w:r>
      <w:bookmarkStart w:id="9" w:name="_Hlk118023116"/>
      <w:r w:rsidR="00527854">
        <w:rPr>
          <w:b w:val="0"/>
          <w:bCs w:val="0"/>
        </w:rPr>
        <w:t>(</w:t>
      </w:r>
      <w:r w:rsidR="00527854" w:rsidRPr="00DD5EAF">
        <w:rPr>
          <w:b w:val="0"/>
          <w:bCs w:val="0"/>
        </w:rPr>
        <w:t xml:space="preserve">Dhar &amp; </w:t>
      </w:r>
      <w:proofErr w:type="spellStart"/>
      <w:r w:rsidR="00527854" w:rsidRPr="00DD5EAF">
        <w:rPr>
          <w:b w:val="0"/>
          <w:bCs w:val="0"/>
        </w:rPr>
        <w:t>Wertenbroch</w:t>
      </w:r>
      <w:proofErr w:type="spellEnd"/>
      <w:r w:rsidR="00527854" w:rsidRPr="00DD5EAF">
        <w:rPr>
          <w:b w:val="0"/>
          <w:bCs w:val="0"/>
        </w:rPr>
        <w:t xml:space="preserve"> 2000)</w:t>
      </w:r>
      <w:r w:rsidR="00527854">
        <w:rPr>
          <w:b w:val="0"/>
          <w:bCs w:val="0"/>
        </w:rPr>
        <w:t xml:space="preserve">. </w:t>
      </w:r>
      <w:bookmarkEnd w:id="9"/>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bookmarkStart w:id="10" w:name="_Hlk118023193"/>
      <w:r w:rsidR="00AF3C74" w:rsidRPr="00AF3C74">
        <w:rPr>
          <w:b w:val="0"/>
          <w:bCs w:val="0"/>
        </w:rPr>
        <w:t>(Shu &amp; Peck, 2011)</w:t>
      </w:r>
      <w:r w:rsidR="00AF3C74">
        <w:rPr>
          <w:b w:val="0"/>
          <w:bCs w:val="0"/>
        </w:rPr>
        <w:t xml:space="preserve"> </w:t>
      </w:r>
      <w:bookmarkEnd w:id="10"/>
      <w:r w:rsidR="00AF3C74">
        <w:rPr>
          <w:b w:val="0"/>
          <w:bCs w:val="0"/>
        </w:rPr>
        <w:t xml:space="preserve">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bookmarkStart w:id="11" w:name="_Hlk118023277"/>
      <w:r w:rsidRPr="00561942">
        <w:rPr>
          <w:b w:val="0"/>
          <w:bCs w:val="0"/>
        </w:rPr>
        <w:t>Irmak &amp; Goodman</w:t>
      </w:r>
      <w:r>
        <w:rPr>
          <w:b w:val="0"/>
          <w:bCs w:val="0"/>
        </w:rPr>
        <w:t xml:space="preserve"> (2013), </w:t>
      </w:r>
      <w:bookmarkEnd w:id="11"/>
      <w:r>
        <w:rPr>
          <w:b w:val="0"/>
          <w:bCs w:val="0"/>
        </w:rPr>
        <w:t xml:space="preserve">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w:t>
      </w:r>
      <w:r w:rsidR="007E00C3">
        <w:rPr>
          <w:b w:val="0"/>
          <w:bCs w:val="0"/>
        </w:rPr>
        <w:lastRenderedPageBreak/>
        <w:t>or letting them to customize them</w:t>
      </w:r>
      <w:r w:rsidR="00A33638">
        <w:rPr>
          <w:b w:val="0"/>
          <w:bCs w:val="0"/>
        </w:rPr>
        <w:t>.</w:t>
      </w:r>
      <w:r w:rsidR="0090753B">
        <w:rPr>
          <w:b w:val="0"/>
          <w:bCs w:val="0"/>
        </w:rPr>
        <w:t xml:space="preserve"> </w:t>
      </w:r>
    </w:p>
    <w:p w14:paraId="6EB6F6FF" w14:textId="2997296A"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w:t>
      </w:r>
      <w:r w:rsidR="00104F71">
        <w:rPr>
          <w:b w:val="0"/>
          <w:bCs w:val="0"/>
        </w:rPr>
        <w:t>s</w:t>
      </w:r>
      <w:r w:rsidR="009C02DE">
        <w:rPr>
          <w:b w:val="0"/>
          <w:bCs w:val="0"/>
        </w:rPr>
        <w:t xml:space="preserve"> customized through hedonic features than products customized through utilitarian ones.</w:t>
      </w:r>
    </w:p>
    <w:p w14:paraId="7C2E7B96" w14:textId="271C9B48"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w:t>
      </w:r>
      <w:r w:rsidR="00104F71">
        <w:rPr>
          <w:b w:val="0"/>
          <w:bCs w:val="0"/>
        </w:rPr>
        <w:t>s</w:t>
      </w:r>
      <w:r w:rsidR="009C02DE" w:rsidRPr="009C02DE">
        <w:rPr>
          <w:b w:val="0"/>
          <w:bCs w:val="0"/>
        </w:rPr>
        <w:t xml:space="preserve">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3FEC5FC0" w:rsidR="004E42F7" w:rsidRDefault="00072E8D" w:rsidP="00072E8D">
      <w:pPr>
        <w:spacing w:before="1" w:line="360" w:lineRule="auto"/>
        <w:ind w:right="117" w:firstLine="720"/>
        <w:jc w:val="both"/>
        <w:rPr>
          <w:rFonts w:ascii="Times New Roman" w:hAnsi="Times New Roman"/>
          <w:sz w:val="24"/>
        </w:rPr>
      </w:pPr>
      <w:r>
        <w:rPr>
          <w:rFonts w:ascii="Times New Roman" w:hAnsi="Times New Roman"/>
          <w:sz w:val="24"/>
        </w:rPr>
        <w:t xml:space="preserve">The </w:t>
      </w:r>
      <w:r w:rsidR="00EB64AE">
        <w:rPr>
          <w:rFonts w:ascii="Times New Roman" w:hAnsi="Times New Roman"/>
          <w:sz w:val="24"/>
        </w:rPr>
        <w:t>value-enhancing consequences derived from the psychological ownershi</w:t>
      </w:r>
      <w:r>
        <w:rPr>
          <w:rFonts w:ascii="Times New Roman" w:hAnsi="Times New Roman"/>
          <w:sz w:val="24"/>
        </w:rPr>
        <w:t xml:space="preserve">p </w:t>
      </w:r>
      <w:r w:rsidR="00EB64AE">
        <w:rPr>
          <w:rFonts w:ascii="Times New Roman" w:hAnsi="Times New Roman"/>
          <w:sz w:val="24"/>
        </w:rPr>
        <w:t xml:space="preserve">are linked with the traits associated with the self and positive self-associations that are transferred to the </w:t>
      </w:r>
      <w:r>
        <w:rPr>
          <w:rFonts w:ascii="Times New Roman" w:hAnsi="Times New Roman"/>
          <w:sz w:val="24"/>
        </w:rPr>
        <w:t>product</w:t>
      </w:r>
      <w:r w:rsidR="00EB64AE">
        <w:rPr>
          <w:rFonts w:ascii="Times New Roman" w:hAnsi="Times New Roman"/>
          <w:sz w:val="24"/>
        </w:rPr>
        <w:t xml:space="preserve">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r w:rsidR="00104F71">
        <w:rPr>
          <w:rFonts w:ascii="Times New Roman" w:hAnsi="Times New Roman"/>
          <w:sz w:val="24"/>
        </w:rPr>
        <w:t xml:space="preserve"> According to </w:t>
      </w:r>
      <w:r w:rsidR="009E7CEE" w:rsidRPr="009E7CEE">
        <w:rPr>
          <w:rFonts w:ascii="Times New Roman" w:hAnsi="Times New Roman"/>
          <w:noProof/>
          <w:sz w:val="24"/>
        </w:rPr>
        <w:t xml:space="preserve">Pierce &amp; Van Dyne </w:t>
      </w:r>
      <w:r w:rsidR="009E7CEE">
        <w:rPr>
          <w:rFonts w:ascii="Times New Roman" w:hAnsi="Times New Roman"/>
          <w:noProof/>
          <w:sz w:val="24"/>
        </w:rPr>
        <w:t>(</w:t>
      </w:r>
      <w:r w:rsidR="009E7CEE" w:rsidRPr="009E7CEE">
        <w:rPr>
          <w:rFonts w:ascii="Times New Roman" w:hAnsi="Times New Roman"/>
          <w:noProof/>
          <w:sz w:val="24"/>
        </w:rPr>
        <w:t>2004</w:t>
      </w:r>
      <w:r w:rsidR="009E7CEE">
        <w:rPr>
          <w:rFonts w:ascii="Times New Roman" w:hAnsi="Times New Roman"/>
          <w:noProof/>
          <w:sz w:val="24"/>
        </w:rPr>
        <w:t>)</w:t>
      </w:r>
      <w:r w:rsidR="00104F71">
        <w:rPr>
          <w:rFonts w:ascii="Times New Roman" w:hAnsi="Times New Roman"/>
          <w:sz w:val="24"/>
        </w:rPr>
        <w:t xml:space="preserve"> there are three main elements to which psychological ownership has a strong link; these are: attitudes, self-concept and sense of responsibility. </w:t>
      </w:r>
    </w:p>
    <w:p w14:paraId="5B2F2B1F" w14:textId="7652A231" w:rsidR="003E13A9" w:rsidRDefault="003E13A9" w:rsidP="00072E8D">
      <w:pPr>
        <w:spacing w:before="1" w:line="360" w:lineRule="auto"/>
        <w:ind w:right="117" w:firstLine="720"/>
        <w:jc w:val="both"/>
        <w:rPr>
          <w:rFonts w:ascii="Times New Roman" w:hAnsi="Times New Roman"/>
          <w:sz w:val="24"/>
        </w:rPr>
      </w:pPr>
      <w:r>
        <w:rPr>
          <w:rFonts w:ascii="Times New Roman" w:hAnsi="Times New Roman"/>
          <w:sz w:val="24"/>
        </w:rPr>
        <w:t>The literature about psychology of possession has proved that people tend to develop positive feelings toward tangible and intangible targets of ownership</w:t>
      </w:r>
      <w:r w:rsidR="009E7CEE">
        <w:rPr>
          <w:rFonts w:ascii="Times New Roman" w:hAnsi="Times New Roman"/>
          <w:sz w:val="24"/>
        </w:rPr>
        <w:t xml:space="preserve"> </w:t>
      </w:r>
      <w:sdt>
        <w:sdtPr>
          <w:rPr>
            <w:rFonts w:ascii="Times New Roman" w:hAnsi="Times New Roman"/>
            <w:sz w:val="24"/>
          </w:rPr>
          <w:id w:val="-63456293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Pie04 \l 9226 </w:instrText>
          </w:r>
          <w:r w:rsidR="009E7CEE">
            <w:rPr>
              <w:rFonts w:ascii="Times New Roman" w:hAnsi="Times New Roman"/>
              <w:sz w:val="24"/>
            </w:rPr>
            <w:fldChar w:fldCharType="separate"/>
          </w:r>
          <w:r w:rsidR="009E7CEE" w:rsidRPr="009E7CEE">
            <w:rPr>
              <w:rFonts w:ascii="Times New Roman" w:hAnsi="Times New Roman"/>
              <w:noProof/>
              <w:sz w:val="24"/>
            </w:rPr>
            <w:t>(Pierce &amp; Van Dyne, 2004)</w:t>
          </w:r>
          <w:r w:rsidR="009E7CEE">
            <w:rPr>
              <w:rFonts w:ascii="Times New Roman" w:hAnsi="Times New Roman"/>
              <w:sz w:val="24"/>
            </w:rPr>
            <w:fldChar w:fldCharType="end"/>
          </w:r>
        </w:sdtContent>
      </w:sdt>
      <w:r>
        <w:rPr>
          <w:rFonts w:ascii="Times New Roman" w:hAnsi="Times New Roman"/>
          <w:sz w:val="24"/>
        </w:rPr>
        <w:t xml:space="preserve">. In regards of the self-concept, this same literature proposes that people are bound to view tangible and intangible possessions as part of the extended self, mainly caused by the feelings of ownership </w:t>
      </w:r>
      <w:sdt>
        <w:sdtPr>
          <w:rPr>
            <w:rFonts w:ascii="Times New Roman" w:hAnsi="Times New Roman"/>
            <w:sz w:val="24"/>
          </w:rPr>
          <w:id w:val="183040229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Bel98 \l 9226 </w:instrText>
          </w:r>
          <w:r w:rsidR="009E7CEE">
            <w:rPr>
              <w:rFonts w:ascii="Times New Roman" w:hAnsi="Times New Roman"/>
              <w:sz w:val="24"/>
            </w:rPr>
            <w:fldChar w:fldCharType="separate"/>
          </w:r>
          <w:r w:rsidR="009E7CEE" w:rsidRPr="009E7CEE">
            <w:rPr>
              <w:rFonts w:ascii="Times New Roman" w:hAnsi="Times New Roman"/>
              <w:noProof/>
              <w:sz w:val="24"/>
            </w:rPr>
            <w:t>(Belk, 1998)</w:t>
          </w:r>
          <w:r w:rsidR="009E7CEE">
            <w:rPr>
              <w:rFonts w:ascii="Times New Roman" w:hAnsi="Times New Roman"/>
              <w:sz w:val="24"/>
            </w:rPr>
            <w:fldChar w:fldCharType="end"/>
          </w:r>
        </w:sdtContent>
      </w:sdt>
      <w:r>
        <w:rPr>
          <w:rFonts w:ascii="Times New Roman" w:hAnsi="Times New Roman"/>
          <w:sz w:val="24"/>
        </w:rPr>
        <w:t xml:space="preserve">. Finally, about the sense of responsibility, authors like </w:t>
      </w:r>
      <w:r w:rsidR="00867ED4">
        <w:rPr>
          <w:rFonts w:ascii="Times New Roman" w:hAnsi="Times New Roman"/>
          <w:sz w:val="24"/>
        </w:rPr>
        <w:t>Hall (1966)</w:t>
      </w:r>
      <w:r>
        <w:rPr>
          <w:rFonts w:ascii="Times New Roman" w:hAnsi="Times New Roman"/>
          <w:sz w:val="24"/>
        </w:rPr>
        <w:t xml:space="preserve"> proposes that </w:t>
      </w:r>
      <w:r w:rsidR="000F6560">
        <w:rPr>
          <w:rFonts w:ascii="Times New Roman" w:hAnsi="Times New Roman"/>
          <w:sz w:val="24"/>
        </w:rPr>
        <w:t>possession compels people to protect and defend their ownership rights.</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lastRenderedPageBreak/>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This effect states that persons tend 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505348ED" w:rsidR="002E0830" w:rsidRPr="00CA26E8"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sectPr w:rsidR="002E0830" w:rsidRPr="00CA26E8"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2ECE" w14:textId="77777777" w:rsidR="00BD7242" w:rsidRDefault="00BD7242">
      <w:r>
        <w:separator/>
      </w:r>
    </w:p>
  </w:endnote>
  <w:endnote w:type="continuationSeparator" w:id="0">
    <w:p w14:paraId="107C4089" w14:textId="77777777" w:rsidR="00BD7242" w:rsidRDefault="00BD7242">
      <w:r>
        <w:continuationSeparator/>
      </w:r>
    </w:p>
  </w:endnote>
  <w:endnote w:type="continuationNotice" w:id="1">
    <w:p w14:paraId="50997E7E" w14:textId="77777777" w:rsidR="00BD7242" w:rsidRDefault="00BD7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C112" w14:textId="77777777" w:rsidR="00BD7242" w:rsidRDefault="00BD7242">
      <w:r>
        <w:separator/>
      </w:r>
    </w:p>
  </w:footnote>
  <w:footnote w:type="continuationSeparator" w:id="0">
    <w:p w14:paraId="0477A2D5" w14:textId="77777777" w:rsidR="00BD7242" w:rsidRDefault="00BD7242">
      <w:r>
        <w:continuationSeparator/>
      </w:r>
    </w:p>
  </w:footnote>
  <w:footnote w:type="continuationNotice" w:id="1">
    <w:p w14:paraId="4C53BBBF" w14:textId="77777777" w:rsidR="00BD7242" w:rsidRDefault="00BD72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2E8D"/>
    <w:rsid w:val="00073CA3"/>
    <w:rsid w:val="00073DB7"/>
    <w:rsid w:val="000812E4"/>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560"/>
    <w:rsid w:val="000F6F5F"/>
    <w:rsid w:val="000F7C47"/>
    <w:rsid w:val="0010352D"/>
    <w:rsid w:val="00104CB6"/>
    <w:rsid w:val="00104F71"/>
    <w:rsid w:val="0010599F"/>
    <w:rsid w:val="00105FD1"/>
    <w:rsid w:val="001063AD"/>
    <w:rsid w:val="001074B7"/>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5D5B"/>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23073"/>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13A9"/>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5AAA"/>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67ED4"/>
    <w:rsid w:val="0087005E"/>
    <w:rsid w:val="00872DD3"/>
    <w:rsid w:val="0087541D"/>
    <w:rsid w:val="008759E7"/>
    <w:rsid w:val="008858A2"/>
    <w:rsid w:val="00890481"/>
    <w:rsid w:val="0089105A"/>
    <w:rsid w:val="00896AD5"/>
    <w:rsid w:val="008A1DCF"/>
    <w:rsid w:val="008A2766"/>
    <w:rsid w:val="008B5DF2"/>
    <w:rsid w:val="008C082F"/>
    <w:rsid w:val="008C1264"/>
    <w:rsid w:val="008C47D2"/>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39E0"/>
    <w:rsid w:val="00981F43"/>
    <w:rsid w:val="00982002"/>
    <w:rsid w:val="0098292D"/>
    <w:rsid w:val="00990167"/>
    <w:rsid w:val="009944C8"/>
    <w:rsid w:val="00997535"/>
    <w:rsid w:val="009A0164"/>
    <w:rsid w:val="009A1703"/>
    <w:rsid w:val="009A1CF9"/>
    <w:rsid w:val="009A33E0"/>
    <w:rsid w:val="009A5B42"/>
    <w:rsid w:val="009A7EC7"/>
    <w:rsid w:val="009A7ECF"/>
    <w:rsid w:val="009C0113"/>
    <w:rsid w:val="009C02DE"/>
    <w:rsid w:val="009C730C"/>
    <w:rsid w:val="009D2602"/>
    <w:rsid w:val="009D399D"/>
    <w:rsid w:val="009D4ED5"/>
    <w:rsid w:val="009E340D"/>
    <w:rsid w:val="009E37D5"/>
    <w:rsid w:val="009E5C85"/>
    <w:rsid w:val="009E75DD"/>
    <w:rsid w:val="009E7CEE"/>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1BEB"/>
    <w:rsid w:val="00A74F07"/>
    <w:rsid w:val="00A77FC7"/>
    <w:rsid w:val="00A84D1A"/>
    <w:rsid w:val="00A85692"/>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37F94"/>
    <w:rsid w:val="00B46AA5"/>
    <w:rsid w:val="00B4753F"/>
    <w:rsid w:val="00B56D2B"/>
    <w:rsid w:val="00B61C15"/>
    <w:rsid w:val="00B6359B"/>
    <w:rsid w:val="00B6575B"/>
    <w:rsid w:val="00B70F3D"/>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024"/>
    <w:rsid w:val="00BC66B4"/>
    <w:rsid w:val="00BC78D2"/>
    <w:rsid w:val="00BD1243"/>
    <w:rsid w:val="00BD164D"/>
    <w:rsid w:val="00BD16DA"/>
    <w:rsid w:val="00BD251E"/>
    <w:rsid w:val="00BD7242"/>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52FF2"/>
    <w:rsid w:val="00C61FFF"/>
    <w:rsid w:val="00C6792A"/>
    <w:rsid w:val="00C70139"/>
    <w:rsid w:val="00C74579"/>
    <w:rsid w:val="00C753C2"/>
    <w:rsid w:val="00C76913"/>
    <w:rsid w:val="00C8106B"/>
    <w:rsid w:val="00C81565"/>
    <w:rsid w:val="00C83BB3"/>
    <w:rsid w:val="00C85A03"/>
    <w:rsid w:val="00C85BB8"/>
    <w:rsid w:val="00C90BB4"/>
    <w:rsid w:val="00C919FA"/>
    <w:rsid w:val="00C91A77"/>
    <w:rsid w:val="00C9222C"/>
    <w:rsid w:val="00C95EFE"/>
    <w:rsid w:val="00C95FAA"/>
    <w:rsid w:val="00C96AC2"/>
    <w:rsid w:val="00CA1E25"/>
    <w:rsid w:val="00CA26E8"/>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123"/>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A5F7C"/>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1CD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6D55"/>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0866453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5391676">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20757617">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72393435">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14</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23</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24</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25</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26</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27</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28</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29</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30</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31</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32</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33</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4</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34</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35</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36</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37</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38</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6</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39</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40</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41</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2</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3</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42</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43</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7</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44</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Hal66</b:Tag>
    <b:SourceType>Book</b:SourceType>
    <b:Guid>{61CFC178-AE42-426F-B161-0DAB6A75F180}</b:Guid>
    <b:Title>The Hidden Dimension</b:Title>
    <b:Year>1966</b:Year>
    <b:City>Garden City</b:City>
    <b:Publisher>Doubleday</b:Publisher>
    <b:Author>
      <b:Author>
        <b:NameList>
          <b:Person>
            <b:Last>Hall</b:Last>
            <b:First>Edward</b:First>
          </b:Person>
        </b:NameList>
      </b:Author>
    </b:Author>
    <b:RefOrder>10</b:RefOrder>
  </b:Source>
</b:Sources>
</file>

<file path=customXml/itemProps1.xml><?xml version="1.0" encoding="utf-8"?>
<ds:datastoreItem xmlns:ds="http://schemas.openxmlformats.org/officeDocument/2006/customXml" ds:itemID="{887CBCAE-8729-4F25-A7D9-8AF16A66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7</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228</cp:revision>
  <cp:lastPrinted>2022-08-11T14:32:00Z</cp:lastPrinted>
  <dcterms:created xsi:type="dcterms:W3CDTF">2022-09-15T09:23:00Z</dcterms:created>
  <dcterms:modified xsi:type="dcterms:W3CDTF">2022-11-01T09:21:00Z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