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5171" behindDoc="1" locked="0" layoutInCell="1" allowOverlap="1" wp14:anchorId="17D4B17F" wp14:editId="6FE66BA1">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BA86" id="Freeform 3" o:spid="_x0000_s1026" style="position:absolute;margin-left:1in;margin-top:15.95pt;width:450pt;height:.1pt;z-index:-2516613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5172" behindDoc="1" locked="0" layoutInCell="1" allowOverlap="1" wp14:anchorId="55AA1400" wp14:editId="52AC29F1">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04D9" id="Freeform 2" o:spid="_x0000_s1026" style="position:absolute;margin-left:1in;margin-top:15.3pt;width:450pt;height:.1pt;z-index:-2516613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D443590" w:rsidR="00D55DE4" w:rsidRDefault="004A3C7C" w:rsidP="00346BD8">
      <w:pPr>
        <w:spacing w:before="1"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3A7B769C"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6A47FE94"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66FE7624" w14:textId="6D2F2531" w:rsidR="00523BEB" w:rsidRDefault="00523BEB" w:rsidP="00346BD8">
      <w:pPr>
        <w:spacing w:before="1" w:line="360" w:lineRule="auto"/>
        <w:ind w:right="117" w:firstLine="720"/>
        <w:jc w:val="both"/>
        <w:rPr>
          <w:rFonts w:ascii="Times New Roman" w:hAnsi="Times New Roman"/>
          <w:sz w:val="24"/>
        </w:rPr>
      </w:pPr>
      <w:r>
        <w:rPr>
          <w:rFonts w:ascii="Times New Roman" w:hAnsi="Times New Roman"/>
          <w:sz w:val="24"/>
        </w:rPr>
        <w:t>Psychological ownership is a relevant variable</w:t>
      </w:r>
      <w:r w:rsidR="003F1357">
        <w:rPr>
          <w:rFonts w:ascii="Times New Roman" w:hAnsi="Times New Roman"/>
          <w:sz w:val="24"/>
        </w:rPr>
        <w:t xml:space="preserve"> that deserves to be borne in mind by companies because it has important influence on both approaches: for the consumers and for the companies as well. According to </w:t>
      </w:r>
      <w:r w:rsidR="003F1357" w:rsidRPr="003F1357">
        <w:rPr>
          <w:rFonts w:ascii="Times New Roman" w:hAnsi="Times New Roman"/>
          <w:sz w:val="24"/>
        </w:rPr>
        <w:t>Li &amp; Atkinson (2020), psychological ownership fulfills basic psychological needs and therefore increments customer well-being.</w:t>
      </w:r>
      <w:r w:rsidR="006F5797">
        <w:rPr>
          <w:rFonts w:ascii="Times New Roman" w:hAnsi="Times New Roman"/>
          <w:sz w:val="24"/>
        </w:rPr>
        <w:t xml:space="preserve"> Additionally, this variable is positively associated with consumer demand, willingness to pay, word of mouth and competitive resistance </w:t>
      </w:r>
      <w:r w:rsidR="006F5797" w:rsidRPr="006F5797">
        <w:rPr>
          <w:rFonts w:ascii="Times New Roman" w:hAnsi="Times New Roman"/>
          <w:sz w:val="24"/>
        </w:rPr>
        <w:t>(</w:t>
      </w:r>
      <w:proofErr w:type="spellStart"/>
      <w:r w:rsidR="006F5797" w:rsidRPr="006F5797">
        <w:rPr>
          <w:rFonts w:ascii="Times New Roman" w:hAnsi="Times New Roman"/>
          <w:sz w:val="24"/>
        </w:rPr>
        <w:t>Morewedge</w:t>
      </w:r>
      <w:proofErr w:type="spellEnd"/>
      <w:r w:rsidR="006F5797" w:rsidRPr="006F5797">
        <w:rPr>
          <w:rFonts w:ascii="Times New Roman" w:hAnsi="Times New Roman"/>
          <w:sz w:val="24"/>
        </w:rPr>
        <w:t xml:space="preserve"> et al., 2021)</w:t>
      </w:r>
      <w:r w:rsidR="006F5797">
        <w:rPr>
          <w:rFonts w:ascii="Times New Roman" w:hAnsi="Times New Roman"/>
          <w:sz w:val="24"/>
        </w:rPr>
        <w:t xml:space="preserve">, variables that are quite linked with the performance of companies in the short, mid and long term. </w:t>
      </w:r>
    </w:p>
    <w:p w14:paraId="44B2B406" w14:textId="68B63C9A" w:rsidR="002A328D"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p>
    <w:p w14:paraId="27C3CA83" w14:textId="74D6BD75" w:rsidR="004B2B55" w:rsidRDefault="003B238D" w:rsidP="005726AC">
      <w:pPr>
        <w:spacing w:line="360" w:lineRule="auto"/>
        <w:ind w:right="117" w:firstLine="720"/>
        <w:jc w:val="both"/>
        <w:rPr>
          <w:rFonts w:ascii="Times New Roman" w:hAnsi="Times New Roman"/>
          <w:sz w:val="24"/>
        </w:rPr>
      </w:pPr>
      <w:r>
        <w:rPr>
          <w:rFonts w:ascii="Times New Roman" w:hAnsi="Times New Roman"/>
          <w:sz w:val="24"/>
        </w:rPr>
        <w:t xml:space="preserve"> </w:t>
      </w:r>
    </w:p>
    <w:p w14:paraId="42E26D58" w14:textId="77777777" w:rsidR="001717E6" w:rsidRDefault="001717E6" w:rsidP="005726AC">
      <w:pPr>
        <w:spacing w:line="360" w:lineRule="auto"/>
        <w:ind w:right="117" w:firstLine="720"/>
        <w:jc w:val="both"/>
        <w:rPr>
          <w:rFonts w:ascii="Times New Roman" w:hAnsi="Times New Roman"/>
          <w:sz w:val="24"/>
        </w:rPr>
      </w:pPr>
    </w:p>
    <w:p w14:paraId="49A60C22" w14:textId="022C44E7" w:rsidR="00BD251E" w:rsidRDefault="00BD251E" w:rsidP="005726AC">
      <w:pPr>
        <w:spacing w:line="360" w:lineRule="auto"/>
        <w:ind w:right="117" w:firstLine="720"/>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6D7BB7E5"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FA4E54">
        <w:rPr>
          <w:rFonts w:ascii="Times New Roman" w:hAnsi="Times New Roman"/>
          <w:sz w:val="24"/>
        </w:rPr>
        <w:t xml:space="preserve">does </w:t>
      </w:r>
      <w:r w:rsidR="00695298">
        <w:rPr>
          <w:rFonts w:ascii="Times New Roman" w:hAnsi="Times New Roman"/>
          <w:sz w:val="24"/>
        </w:rPr>
        <w:t xml:space="preserve">the </w:t>
      </w:r>
      <w:r w:rsidR="00B01DC0">
        <w:rPr>
          <w:rFonts w:ascii="Times New Roman" w:hAnsi="Times New Roman"/>
          <w:sz w:val="24"/>
        </w:rPr>
        <w:t>psychological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02ECEC83"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the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4AA2F93B"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694035C8" w14:textId="5F5C2254" w:rsidR="00C30B65" w:rsidRDefault="00C30B65">
      <w:pPr>
        <w:pStyle w:val="Heading3"/>
        <w:spacing w:before="1"/>
        <w:jc w:val="both"/>
      </w:pPr>
    </w:p>
    <w:p w14:paraId="153084F6" w14:textId="4D108088" w:rsidR="00C2238D" w:rsidRDefault="00C2238D" w:rsidP="00C2238D">
      <w:pPr>
        <w:spacing w:before="1" w:line="360" w:lineRule="auto"/>
        <w:ind w:left="200" w:right="117"/>
        <w:jc w:val="both"/>
        <w:rPr>
          <w:rFonts w:ascii="Times New Roman" w:hAnsi="Times New Roman"/>
          <w:sz w:val="24"/>
        </w:rPr>
      </w:pPr>
      <w:r>
        <w:rPr>
          <w:rFonts w:ascii="Times New Roman" w:hAnsi="Times New Roman"/>
          <w:sz w:val="24"/>
        </w:rPr>
        <w:t>3.1 Level of customization</w:t>
      </w:r>
    </w:p>
    <w:p w14:paraId="0169843E" w14:textId="0B2A61E6"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4802F730" w14:textId="06260008"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A shift from legal ownership to legal access, promoted by the circular economy, offers challenges, for companies, in order to protect and maintain the psychological ownership. One of them is through the offering of platforms which could incorporate product customization (</w:t>
      </w:r>
      <w:proofErr w:type="spellStart"/>
      <w:r w:rsidRPr="00960C68">
        <w:rPr>
          <w:rFonts w:ascii="Times New Roman" w:hAnsi="Times New Roman"/>
          <w:sz w:val="24"/>
        </w:rPr>
        <w:t>Morewedge</w:t>
      </w:r>
      <w:proofErr w:type="spellEnd"/>
      <w:r>
        <w:rPr>
          <w:rFonts w:ascii="Times New Roman" w:hAnsi="Times New Roman"/>
          <w:sz w:val="24"/>
        </w:rPr>
        <w:t xml:space="preserve"> et al., 2021). Customization may create a greater level of psychological ownership. For this reason, the level of customization on a product was included in the model and thus, it </w:t>
      </w:r>
      <w:r>
        <w:rPr>
          <w:rFonts w:ascii="Times New Roman" w:hAnsi="Times New Roman"/>
          <w:sz w:val="24"/>
        </w:rPr>
        <w:lastRenderedPageBreak/>
        <w:t>is expected to have a</w:t>
      </w:r>
      <w:r w:rsidR="001074B7">
        <w:rPr>
          <w:rFonts w:ascii="Times New Roman" w:hAnsi="Times New Roman"/>
          <w:sz w:val="24"/>
        </w:rPr>
        <w:t xml:space="preserve"> </w:t>
      </w:r>
      <w:r>
        <w:rPr>
          <w:rFonts w:ascii="Times New Roman" w:hAnsi="Times New Roman"/>
          <w:sz w:val="24"/>
        </w:rPr>
        <w:t xml:space="preserve">significant relationship with </w:t>
      </w:r>
      <w:r w:rsidR="003C0407">
        <w:rPr>
          <w:rFonts w:ascii="Times New Roman" w:hAnsi="Times New Roman"/>
          <w:sz w:val="24"/>
        </w:rPr>
        <w:t>both, psychological ownership and willingness to pay.</w:t>
      </w:r>
    </w:p>
    <w:p w14:paraId="34D1CAB8" w14:textId="4F94329E"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 xml:space="preserve">1), therefore it is expected that customization could influence psychological ownership as well. </w:t>
      </w: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77777777" w:rsidR="00C2238D" w:rsidRDefault="00C2238D" w:rsidP="00C2238D">
      <w:pPr>
        <w:pStyle w:val="Heading3"/>
        <w:spacing w:before="1" w:line="360" w:lineRule="auto"/>
        <w:jc w:val="both"/>
        <w:rPr>
          <w:b w:val="0"/>
          <w:bCs w:val="0"/>
        </w:rPr>
      </w:pPr>
      <w:r>
        <w:rPr>
          <w:b w:val="0"/>
          <w:bCs w:val="0"/>
        </w:rPr>
        <w:t>3.2 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334CEF1" w:rsidR="00D14ADD" w:rsidRDefault="00010958" w:rsidP="00990167">
      <w:pPr>
        <w:pStyle w:val="Heading3"/>
        <w:spacing w:before="1" w:line="360" w:lineRule="auto"/>
        <w:ind w:firstLine="520"/>
        <w:jc w:val="both"/>
        <w:rPr>
          <w:b w:val="0"/>
          <w:bCs w:val="0"/>
        </w:rPr>
      </w:pPr>
      <w:r>
        <w:rPr>
          <w:b w:val="0"/>
          <w:bCs w:val="0"/>
        </w:rPr>
        <w:t xml:space="preserve">This variable, and its conditions, have been included in this research given that </w:t>
      </w:r>
      <w:r w:rsidR="00E01A28">
        <w:rPr>
          <w:b w:val="0"/>
          <w:bCs w:val="0"/>
        </w:rPr>
        <w:t>they are expected</w:t>
      </w:r>
      <w:r>
        <w:rPr>
          <w:b w:val="0"/>
          <w:bCs w:val="0"/>
        </w:rPr>
        <w:t xml:space="preserve"> to produce significant differences </w:t>
      </w:r>
      <w:r w:rsidR="00E01A28">
        <w:rPr>
          <w:b w:val="0"/>
          <w:bCs w:val="0"/>
        </w:rPr>
        <w:t xml:space="preserve">across the participants. According to </w:t>
      </w:r>
      <w:r w:rsidR="00073CA3">
        <w:rPr>
          <w:b w:val="0"/>
          <w:bCs w:val="0"/>
        </w:rPr>
        <w:t xml:space="preserve">Botti &amp; </w:t>
      </w:r>
      <w:proofErr w:type="spellStart"/>
      <w:r w:rsidR="00073CA3">
        <w:rPr>
          <w:b w:val="0"/>
          <w:bCs w:val="0"/>
        </w:rPr>
        <w:t>Mcgill</w:t>
      </w:r>
      <w:proofErr w:type="spellEnd"/>
      <w:r w:rsidR="00073CA3">
        <w:rPr>
          <w:b w:val="0"/>
          <w:bCs w:val="0"/>
        </w:rPr>
        <w:t xml:space="preserve"> (</w:t>
      </w:r>
      <w:r w:rsidR="00BC55EE">
        <w:rPr>
          <w:b w:val="0"/>
          <w:bCs w:val="0"/>
        </w:rPr>
        <w:t>2011),</w:t>
      </w:r>
      <w:r w:rsidR="00E01A28">
        <w:rPr>
          <w:b w:val="0"/>
          <w:bCs w:val="0"/>
        </w:rPr>
        <w:t xml:space="preserve"> due</w:t>
      </w:r>
      <w:r w:rsidR="00C068A6">
        <w:rPr>
          <w:b w:val="0"/>
          <w:bCs w:val="0"/>
        </w:rPr>
        <w:t xml:space="preserve"> </w:t>
      </w:r>
    </w:p>
    <w:p w14:paraId="04F6F2AC" w14:textId="4112C152" w:rsidR="00B76775" w:rsidRDefault="00B76775" w:rsidP="00C2238D">
      <w:pPr>
        <w:pStyle w:val="Heading3"/>
        <w:spacing w:before="1" w:line="360" w:lineRule="auto"/>
        <w:jc w:val="both"/>
        <w:rPr>
          <w:b w:val="0"/>
          <w:bCs w:val="0"/>
        </w:rPr>
      </w:pP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 xml:space="preserve">Products customized through hedonic features will develop a stronger </w:t>
      </w:r>
      <w:r w:rsidRPr="00647056">
        <w:rPr>
          <w:b w:val="0"/>
          <w:bCs w:val="0"/>
        </w:rPr>
        <w:lastRenderedPageBreak/>
        <w:t>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38986976" w14:textId="1B922911" w:rsidR="008E729B" w:rsidRDefault="0016241C" w:rsidP="008E729B">
      <w:pPr>
        <w:spacing w:before="1" w:line="360" w:lineRule="auto"/>
        <w:ind w:left="200" w:right="117"/>
        <w:jc w:val="both"/>
        <w:rPr>
          <w:rFonts w:ascii="Times New Roman" w:hAnsi="Times New Roman"/>
          <w:sz w:val="24"/>
        </w:rPr>
      </w:pPr>
      <w:r>
        <w:rPr>
          <w:rFonts w:ascii="Times New Roman" w:hAnsi="Times New Roman"/>
          <w:sz w:val="24"/>
        </w:rPr>
        <w:t>3</w:t>
      </w:r>
      <w:r w:rsidR="008E729B">
        <w:rPr>
          <w:rFonts w:ascii="Times New Roman" w:hAnsi="Times New Roman"/>
          <w:sz w:val="24"/>
        </w:rPr>
        <w:t>.</w:t>
      </w:r>
      <w:r w:rsidR="00900C07">
        <w:rPr>
          <w:rFonts w:ascii="Times New Roman" w:hAnsi="Times New Roman"/>
          <w:sz w:val="24"/>
        </w:rPr>
        <w:t>3</w:t>
      </w:r>
      <w:r w:rsidR="008E729B">
        <w:rPr>
          <w:rFonts w:ascii="Times New Roman" w:hAnsi="Times New Roman"/>
          <w:sz w:val="24"/>
        </w:rPr>
        <w:t xml:space="preserve"> </w:t>
      </w:r>
      <w:r w:rsidR="003C3A66">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71C3F308"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54F76F7" w14:textId="36DC7199" w:rsidR="006F1CE7"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 on product valuation. But what has not been discussed yet, is the mediating role of this variable in a customization context. </w:t>
      </w:r>
    </w:p>
    <w:p w14:paraId="037260FC" w14:textId="205C3A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7D348F07" w:rsidR="00C03D06" w:rsidRPr="00DE251A"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5C3B5C5C" w14:textId="6A757357" w:rsidR="00900C07" w:rsidRDefault="00900C07" w:rsidP="00900C07">
      <w:pPr>
        <w:spacing w:before="1" w:line="360" w:lineRule="auto"/>
        <w:ind w:right="117"/>
        <w:jc w:val="both"/>
        <w:rPr>
          <w:rFonts w:ascii="Times New Roman" w:hAnsi="Times New Roman"/>
          <w:noProof/>
          <w:sz w:val="24"/>
        </w:rPr>
      </w:pPr>
    </w:p>
    <w:p w14:paraId="36D6D35B" w14:textId="15617F41"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 xml:space="preserve">3.4 </w:t>
      </w:r>
      <w:r w:rsidR="0060698E">
        <w:rPr>
          <w:rFonts w:ascii="Times New Roman" w:hAnsi="Times New Roman"/>
          <w:noProof/>
          <w:sz w:val="24"/>
        </w:rPr>
        <w:t>Product valuation</w:t>
      </w:r>
    </w:p>
    <w:p w14:paraId="33030EDA" w14:textId="25872AE1" w:rsidR="006B37A3" w:rsidRDefault="006B37A3" w:rsidP="00900C07">
      <w:pPr>
        <w:spacing w:before="1" w:line="360" w:lineRule="auto"/>
        <w:ind w:right="117"/>
        <w:jc w:val="both"/>
        <w:rPr>
          <w:rFonts w:ascii="Times New Roman" w:hAnsi="Times New Roman"/>
          <w:noProof/>
          <w:sz w:val="24"/>
        </w:rPr>
      </w:pPr>
      <w:r>
        <w:rPr>
          <w:rFonts w:ascii="Times New Roman" w:hAnsi="Times New Roman"/>
          <w:noProof/>
          <w:sz w:val="24"/>
        </w:rPr>
        <w:tab/>
      </w:r>
      <w:r w:rsidR="0060698E">
        <w:rPr>
          <w:rFonts w:ascii="Times New Roman" w:hAnsi="Times New Roman"/>
          <w:noProof/>
          <w:sz w:val="24"/>
        </w:rPr>
        <w:t>As with an attachment between consumer and brand, psychological ownership for a good is positively associated with consumer demand</w:t>
      </w:r>
      <w:r w:rsidR="00E8749E">
        <w:rPr>
          <w:rFonts w:ascii="Times New Roman" w:hAnsi="Times New Roman"/>
          <w:noProof/>
          <w:sz w:val="24"/>
        </w:rPr>
        <w:t>, willingness to pay; […]. Psychological ownership is thus a valuable asset for firms (</w:t>
      </w:r>
      <w:r w:rsidR="00E8749E" w:rsidRPr="00E8749E">
        <w:rPr>
          <w:rFonts w:ascii="Times New Roman" w:hAnsi="Times New Roman"/>
          <w:noProof/>
          <w:sz w:val="24"/>
        </w:rPr>
        <w:t>Morewedge et al., 2021)</w:t>
      </w:r>
      <w:r w:rsidR="00E8749E">
        <w:rPr>
          <w:rFonts w:ascii="Times New Roman" w:hAnsi="Times New Roman"/>
          <w:noProof/>
          <w:sz w:val="24"/>
        </w:rPr>
        <w:t xml:space="preserve">. </w:t>
      </w:r>
      <w:r w:rsidR="00265661">
        <w:rPr>
          <w:rFonts w:ascii="Times New Roman" w:hAnsi="Times New Roman"/>
          <w:noProof/>
          <w:sz w:val="24"/>
        </w:rPr>
        <w:t xml:space="preserve"> In accordance with</w:t>
      </w:r>
      <w:r w:rsidR="00443418">
        <w:rPr>
          <w:rFonts w:ascii="Times New Roman" w:hAnsi="Times New Roman"/>
          <w:noProof/>
          <w:sz w:val="24"/>
        </w:rPr>
        <w:t xml:space="preserve"> the insights found </w:t>
      </w:r>
      <w:r w:rsidR="00443418">
        <w:rPr>
          <w:rFonts w:ascii="Times New Roman" w:hAnsi="Times New Roman"/>
          <w:noProof/>
          <w:sz w:val="24"/>
        </w:rPr>
        <w:lastRenderedPageBreak/>
        <w:t>by</w:t>
      </w:r>
      <w:r w:rsidR="00265661">
        <w:rPr>
          <w:rFonts w:ascii="Times New Roman" w:hAnsi="Times New Roman"/>
          <w:noProof/>
          <w:sz w:val="24"/>
        </w:rPr>
        <w:t xml:space="preserve"> </w:t>
      </w:r>
      <w:r w:rsidR="00265661" w:rsidRPr="00265661">
        <w:rPr>
          <w:rFonts w:ascii="Times New Roman" w:hAnsi="Times New Roman"/>
          <w:noProof/>
          <w:sz w:val="24"/>
        </w:rPr>
        <w:t>Atasoy &amp; Morewedge (2017),</w:t>
      </w:r>
      <w:r w:rsidR="00443418">
        <w:rPr>
          <w:rFonts w:ascii="Times New Roman" w:hAnsi="Times New Roman"/>
          <w:noProof/>
          <w:sz w:val="24"/>
        </w:rPr>
        <w:t xml:space="preserve"> the features of a good influence pre</w:t>
      </w:r>
      <w:r w:rsidR="00A675F1">
        <w:rPr>
          <w:rFonts w:ascii="Times New Roman" w:hAnsi="Times New Roman"/>
          <w:noProof/>
          <w:sz w:val="24"/>
        </w:rPr>
        <w:t>-purchase</w:t>
      </w:r>
      <w:r w:rsidR="00443418">
        <w:rPr>
          <w:rFonts w:ascii="Times New Roman" w:hAnsi="Times New Roman"/>
          <w:noProof/>
          <w:sz w:val="24"/>
        </w:rPr>
        <w:t xml:space="preserve"> extension of psychological ownership to the good, </w:t>
      </w:r>
      <w:r w:rsidR="00A675F1">
        <w:rPr>
          <w:rFonts w:ascii="Times New Roman" w:hAnsi="Times New Roman"/>
          <w:noProof/>
          <w:sz w:val="24"/>
        </w:rPr>
        <w:t>affecting</w:t>
      </w:r>
      <w:r w:rsidR="00443418">
        <w:rPr>
          <w:rFonts w:ascii="Times New Roman" w:hAnsi="Times New Roman"/>
          <w:noProof/>
          <w:sz w:val="24"/>
        </w:rPr>
        <w:t xml:space="preserve"> both, the value of the good and likelihood of acquisition. </w:t>
      </w:r>
    </w:p>
    <w:p w14:paraId="75D5B856" w14:textId="77777777" w:rsidR="00E8749E" w:rsidRDefault="00E8749E" w:rsidP="00900C07">
      <w:pPr>
        <w:spacing w:before="1" w:line="360" w:lineRule="auto"/>
        <w:ind w:right="117"/>
        <w:jc w:val="both"/>
        <w:rPr>
          <w:rFonts w:ascii="Times New Roman" w:hAnsi="Times New Roman"/>
          <w:noProof/>
          <w:sz w:val="24"/>
        </w:rPr>
      </w:pPr>
    </w:p>
    <w:p w14:paraId="15681C37" w14:textId="560F3176" w:rsidR="00F531B8" w:rsidRDefault="00F531B8"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45B56DA" w14:textId="0F1FA178" w:rsidR="00C83BB3" w:rsidRDefault="00C83BB3"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A75D54B" w14:textId="35846CC6"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3E933F1" w14:textId="77777777" w:rsidR="005B5DFE" w:rsidRDefault="005B5DFE" w:rsidP="00E2442E">
      <w:pPr>
        <w:spacing w:before="1" w:line="360" w:lineRule="auto"/>
        <w:ind w:left="200" w:right="117" w:firstLine="520"/>
        <w:jc w:val="both"/>
        <w:rPr>
          <w:rFonts w:ascii="Times New Roman" w:hAnsi="Times New Roman"/>
          <w:noProof/>
          <w:sz w:val="24"/>
        </w:rPr>
      </w:pPr>
    </w:p>
    <w:p w14:paraId="23E8F0C5" w14:textId="0DD01A22" w:rsidR="00085AAB" w:rsidRDefault="006D386D" w:rsidP="000156CF">
      <w:pPr>
        <w:pStyle w:val="ListParagraph"/>
        <w:numPr>
          <w:ilvl w:val="1"/>
          <w:numId w:val="15"/>
        </w:numPr>
        <w:tabs>
          <w:tab w:val="left" w:pos="621"/>
        </w:tabs>
        <w:jc w:val="both"/>
        <w:rPr>
          <w:rFonts w:ascii="Times New Roman"/>
          <w:b/>
          <w:i/>
          <w:sz w:val="24"/>
        </w:rPr>
      </w:pPr>
      <w:r w:rsidRPr="000156CF">
        <w:rPr>
          <w:rFonts w:ascii="Times New Roman"/>
          <w:b/>
          <w:i/>
          <w:sz w:val="24"/>
        </w:rPr>
        <w:t>Conceptual</w:t>
      </w:r>
      <w:r w:rsidRPr="000156CF">
        <w:rPr>
          <w:rFonts w:ascii="Times New Roman"/>
          <w:b/>
          <w:i/>
          <w:spacing w:val="-3"/>
          <w:sz w:val="24"/>
        </w:rPr>
        <w:t xml:space="preserve"> </w:t>
      </w:r>
      <w:r w:rsidRPr="000156CF">
        <w:rPr>
          <w:rFonts w:ascii="Times New Roman"/>
          <w:b/>
          <w:i/>
          <w:sz w:val="24"/>
        </w:rPr>
        <w:t>Model/schematical</w:t>
      </w:r>
      <w:r w:rsidRPr="000156CF">
        <w:rPr>
          <w:rFonts w:ascii="Times New Roman"/>
          <w:b/>
          <w:i/>
          <w:spacing w:val="-2"/>
          <w:sz w:val="24"/>
        </w:rPr>
        <w:t xml:space="preserve"> </w:t>
      </w:r>
      <w:r w:rsidRPr="000156CF">
        <w:rPr>
          <w:rFonts w:ascii="Times New Roman"/>
          <w:b/>
          <w:i/>
          <w:sz w:val="24"/>
        </w:rPr>
        <w:t>overview</w:t>
      </w:r>
    </w:p>
    <w:p w14:paraId="582CF9F2" w14:textId="2F4F6406" w:rsidR="00760030" w:rsidRDefault="00760030" w:rsidP="00760030">
      <w:pPr>
        <w:tabs>
          <w:tab w:val="left" w:pos="621"/>
        </w:tabs>
        <w:jc w:val="both"/>
        <w:rPr>
          <w:rFonts w:ascii="Times New Roman"/>
          <w:b/>
          <w:i/>
          <w:sz w:val="24"/>
        </w:rPr>
      </w:pPr>
    </w:p>
    <w:p w14:paraId="244165A7" w14:textId="5FE8A20B" w:rsidR="00760030" w:rsidRPr="00760030" w:rsidRDefault="00760030" w:rsidP="00760030">
      <w:pPr>
        <w:tabs>
          <w:tab w:val="left" w:pos="621"/>
        </w:tabs>
        <w:jc w:val="both"/>
        <w:rPr>
          <w:rFonts w:ascii="Times New Roman"/>
          <w:b/>
          <w:i/>
          <w:sz w:val="24"/>
        </w:rPr>
      </w:pPr>
    </w:p>
    <w:p w14:paraId="13BEC8E2" w14:textId="3972A192" w:rsidR="00085AAB" w:rsidRDefault="008E169F">
      <w:pPr>
        <w:spacing w:line="360" w:lineRule="auto"/>
        <w:jc w:val="both"/>
        <w:rPr>
          <w:rFonts w:ascii="Times New Roman"/>
          <w:sz w:val="24"/>
        </w:rPr>
      </w:pPr>
      <w:r>
        <w:rPr>
          <w:rFonts w:ascii="Times New Roman"/>
          <w:b/>
          <w:i/>
          <w:noProof/>
          <w:sz w:val="24"/>
        </w:rPr>
        <mc:AlternateContent>
          <mc:Choice Requires="wpg">
            <w:drawing>
              <wp:anchor distT="0" distB="0" distL="114300" distR="114300" simplePos="0" relativeHeight="251658240" behindDoc="0" locked="0" layoutInCell="1" allowOverlap="1" wp14:anchorId="74A255FC" wp14:editId="43B12642">
                <wp:simplePos x="0" y="0"/>
                <wp:positionH relativeFrom="column">
                  <wp:posOffset>-300355</wp:posOffset>
                </wp:positionH>
                <wp:positionV relativeFrom="paragraph">
                  <wp:posOffset>107950</wp:posOffset>
                </wp:positionV>
                <wp:extent cx="6550025" cy="2943860"/>
                <wp:effectExtent l="57150" t="0" r="79375" b="104140"/>
                <wp:wrapNone/>
                <wp:docPr id="5" name="Group 5"/>
                <wp:cNvGraphicFramePr/>
                <a:graphic xmlns:a="http://schemas.openxmlformats.org/drawingml/2006/main">
                  <a:graphicData uri="http://schemas.microsoft.com/office/word/2010/wordprocessingGroup">
                    <wpg:wgp>
                      <wpg:cNvGrpSpPr/>
                      <wpg:grpSpPr>
                        <a:xfrm>
                          <a:off x="0" y="0"/>
                          <a:ext cx="6550025" cy="2943860"/>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8057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D7E552" w14:textId="2A881B4E" w:rsidR="00760030" w:rsidRPr="0060698E" w:rsidRDefault="0060698E" w:rsidP="00BF6EBA">
                                <w:pPr>
                                  <w:jc w:val="center"/>
                                </w:pPr>
                                <w:r w:rsidRPr="0060698E">
                                  <w:t>Product 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08BD351F" w14:textId="0A1D94B5" w:rsidR="00760030" w:rsidRPr="00760030" w:rsidRDefault="00760030" w:rsidP="00760030">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33B12634" w14:textId="125904CC" w:rsidR="00760030" w:rsidRPr="00760030" w:rsidRDefault="00760030" w:rsidP="00760030">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flipV="1">
                            <a:off x="1785880" y="847797"/>
                            <a:ext cx="852663" cy="430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255FC" id="Group 5" o:spid="_x0000_s1026" style="position:absolute;left:0;text-align:left;margin-left:-23.65pt;margin-top:8.5pt;width:515.75pt;height:231.8pt;z-index:251658240" coordsize="65503,2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B7hwUAAA8jAAAOAAAAZHJzL2Uyb0RvYy54bWzsWttu4zYQfS/QfyD0vrFI3YU4izR7QYHF&#10;brBJu8+MLNnCSqRKMrHTr++QImmvEyPZJA0K1y+2LrwMh+fMDGd0/HbVd+imFrLlbBrgozBANav4&#10;rGXzafDH5Yc3eYCkomxGO87qaXBby+Dtya+/HC+HsiZ8wbtZLRAMwmS5HKbBQqmhnExktah7Ko/4&#10;UDN42XDRUwW3Yj6ZCbqE0ftuQsIwnSy5mA2CV7WU8PTd+DI4MeM3TV2pL00ja4W6aQCyKfMrzO+V&#10;/p2cHNNyLuiwaCsrBn2CFD1tGUzqh3pHFUXXor0zVN9WgkveqKOK9xPeNG1VmzXAanC4tZqPgl8P&#10;Zi3zcjkfvJpAtVt6evKw1eebj2K4GM4FaGI5zEEX5k6vZdWIXv+DlGhlVHbrVVavFKrgYZokYUiS&#10;AFXwjhRxlKdWqdUCNH+nX7V4v9EzIrAntmeMMdbbMXETT34Qx9+MYoLc5wK1s2kQB4jRHqBltIVi&#10;PYZu/BIru08+Wm6t7A0Os6wYkbSxvCyJiFNMFEU4J6bNzuUB/uV6i+XztvhiQYfaIEdqRVhVpU5V&#10;X4EXlM27GpFRXaaVR4EsJQBiJwRwFIURLM1wxwEB52GRJXY7cR5nOdxsbictByHVx5r3SF9MAwFC&#10;GM7Qm09SjU1dE4DBcnBimCt129Vaoo59rRvYeMAeNr2NqajPOoFuKJCcVlXNlEOSaa27NW3X+Y7k&#10;4Y62ve5aGzPiOz9iVt/DzMyZ8p37lnFx3+yz707kZmzvNDCuW6tAra5WBtuyvOKzW9hTwUd7Jofq&#10;Qws6/USlOqcCDBjsAxhl9QV+mo4vpwG3VwFacPH3fc91ewAdvA3QEgziNJB/XVNRB6j7nQEcCxzH&#10;2oKamzjJNHXF5purzTfsuj/jsB0YzP9QmUvdXnXushG8/wa2+1TPCq8oq2DuaVAp4W7O1GiowfpX&#10;9empaQZWc6DqE7sYKgcAjZnL1TcqBgssBZj8zB0FaLmFr7Gt3hrGT68Vb1oDPq3iUa9W9UBHbUle&#10;gZcY1j/asDUx4ZndbODvw8wkWZymKWgbzHCMSZwZOAF4rbXFaYiTNButbR4mWWgMpbdGB3aCQXku&#10;O40/Mopfg+lAUmPu9oCkQK47JPWb/SiSJnFBjI8EkgJHcXzHiRKSZy5oSLMUWh98qPbeL+lDDUt9&#10;3HNwpfvlSuEoMrL0Uru+3/gKYcMhbZEtSZFawXMdPlgPuyPaTfIkwnC8ALbmeRGG9mDjXGoWk8IF&#10;vFGG4+dxlZaSd+3sA8SpOjTZimo7H9H+0KpjCGK7NAIxTKfNEbTF9VHxVUer79aUbIwA7r9jLtI0&#10;Ib9Wkw40DUkip6A9Jon6/0WbkaPIRrTpt/pxjiwhMZz7DTVIGsfZiP2NcPPgyIx1AYL9e4dBw1Gb&#10;73Bnl0O4uS/hpk/WrB1Z6uzxTzqyKCQ5iUa6bmarnCcrwLnFxXg23E9P5kOAgyfbp7wJ5DO2g73s&#10;iRxJIF+LrUuDVGa6fTTb/2jPW5cDR/aJI8Rx5EIJ2s4XCp0KwZfojDMGGXguEPaHYfArZ8yWglz2&#10;3ZVjfB0I51loUok6i1FEETBHc24d/EVJHJHC+hMckdgEl7tTjdIK5iUaU+xbaVtdOdCz6AMLLRVt&#10;u/dshtTtAKUfJVpTztBy3H+mkS9ZP7CnLV2j3FV42F0/eETnJ4SMauXizZ31g5HWWkM2qf1a2W1f&#10;oduNQB/F7kYgarp2+NMl/W1NMsUZgTLweBCBcnC6fUiHV7q+mOICjxb9AEM4NkDy478Ew3Wl95Ug&#10;6eOGnYj0zvAnAYmh7pnnIyChCJoVJh5Z28Y8IWkKB3ANyjiCmswDCd6Dbdyq6L6abTSghK8ujEex&#10;X4jozzo2740tXX/HcvIPAAAA//8DAFBLAwQUAAYACAAAACEAUoOgvuEAAAAKAQAADwAAAGRycy9k&#10;b3ducmV2LnhtbEyPQW+CQBCF7036HzbTpDddUKpIWYwxbU/GpNqk8bbCCER2lrAr4L/v9NQeJ+/L&#10;m++l69E0osfO1ZYUhNMABFJui5pKBV/H90kMwnlNhW4soYI7Olhnjw+pTgo70Cf2B18KLiGXaAWV&#10;920ipcsrNNpNbYvE2cV2Rns+u1IWnR643DRyFgQLaXRN/KHSLW4rzK+Hm1HwMehhMw/f+t31sr2f&#10;ji/7712ISj0/jZtXEB5H/wfDrz6rQ8ZOZ3ujwolGwSRazhnlYMmbGFjF0QzEWUEUBwuQWSr/T8h+&#10;AAAA//8DAFBLAQItABQABgAIAAAAIQC2gziS/gAAAOEBAAATAAAAAAAAAAAAAAAAAAAAAABbQ29u&#10;dGVudF9UeXBlc10ueG1sUEsBAi0AFAAGAAgAAAAhADj9If/WAAAAlAEAAAsAAAAAAAAAAAAAAAAA&#10;LwEAAF9yZWxzLy5yZWxzUEsBAi0AFAAGAAgAAAAhAIl8oHuHBQAADyMAAA4AAAAAAAAAAAAAAAAA&#10;LgIAAGRycy9lMm9Eb2MueG1sUEsBAi0AFAAGAAgAAAAhAFKDoL7hAAAACgEAAA8AAAAAAAAAAAAA&#10;AAAA4QcAAGRycy9kb3ducmV2LnhtbFBLBQYAAAAABAAEAPMAAADvCAAAAAA=&#10;">
                <v:group id="Group 4" o:spid="_x0000_s1027"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8"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brxgAAANoAAAAPAAAAZHJzL2Rvd25yZXYueG1sRI9Ba8JA&#10;FITvBf/D8oRepG4iIiVmlWIUWjzYpil4fGRfk2D2bchuNfbXdwWhx2FmvmHS9WBacabeNZYVxNMI&#10;BHFpdcOVguJz9/QMwnlkja1lUnAlB+vV6CHFRNsLf9A595UIEHYJKqi97xIpXVmTQTe1HXHwvm1v&#10;0AfZV1L3eAlw08pZFC2kwYbDQo0dbWoqT/mPUdDhPJodstPbV3Hc7vbZJN7/vrdKPY6HlyUIT4P/&#10;D9/br1rBAm5Xwg2Qqz8AAAD//wMAUEsBAi0AFAAGAAgAAAAhANvh9svuAAAAhQEAABMAAAAAAAAA&#10;AAAAAAAAAAAAAFtDb250ZW50X1R5cGVzXS54bWxQSwECLQAUAAYACAAAACEAWvQsW78AAAAVAQAA&#10;CwAAAAAAAAAAAAAAAAAfAQAAX3JlbHMvLnJlbHNQSwECLQAUAAYACAAAACEA32xG68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v:textbox>
                  </v:rect>
                  <v:rect id="Rectangle 10" o:spid="_x0000_s1029" style="position:absolute;left:27466;top:4124;width:16016;height:8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4A9D74EF" w14:textId="1BB814FA" w:rsidR="00573D74" w:rsidRPr="004125A4" w:rsidRDefault="00573D74" w:rsidP="00573D74">
                          <w:pPr>
                            <w:jc w:val="center"/>
                          </w:pPr>
                          <w:r w:rsidRPr="004125A4">
                            <w:t>Psychological ownership</w:t>
                          </w:r>
                        </w:p>
                        <w:p w14:paraId="2F1DDEE3" w14:textId="123306ED" w:rsidR="009A1CF9" w:rsidRPr="009A1CF9" w:rsidRDefault="009A1CF9" w:rsidP="00573D74">
                          <w:pPr>
                            <w:ind w:left="360"/>
                            <w:jc w:val="center"/>
                          </w:pPr>
                        </w:p>
                      </w:txbxContent>
                    </v:textbox>
                  </v:rect>
                  <v:rect id="Rectangle 11" o:spid="_x0000_s1030"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4D7E552" w14:textId="2A881B4E" w:rsidR="00760030" w:rsidRPr="0060698E" w:rsidRDefault="0060698E" w:rsidP="00BF6EBA">
                          <w:pPr>
                            <w:jc w:val="center"/>
                          </w:pPr>
                          <w:r w:rsidRPr="0060698E">
                            <w:t>Product valuation</w:t>
                          </w:r>
                        </w:p>
                      </w:txbxContent>
                    </v:textbox>
                  </v:rect>
                  <v:shapetype id="_x0000_t202" coordsize="21600,21600" o:spt="202" path="m,l,21600r21600,l21600,xe">
                    <v:stroke joinstyle="miter"/>
                    <v:path gradientshapeok="t" o:connecttype="rect"/>
                  </v:shapetype>
                  <v:shape id="Text Box 15" o:spid="_x0000_s1031"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8BD351F" w14:textId="0A1D94B5" w:rsidR="00760030" w:rsidRPr="00760030" w:rsidRDefault="00760030" w:rsidP="00760030">
                          <w:pPr>
                            <w:jc w:val="center"/>
                            <w:rPr>
                              <w:lang w:val="es-CO"/>
                            </w:rPr>
                          </w:pPr>
                          <w:r>
                            <w:rPr>
                              <w:lang w:val="es-CO"/>
                            </w:rPr>
                            <w:t>IV</w:t>
                          </w:r>
                        </w:p>
                      </w:txbxContent>
                    </v:textbox>
                  </v:shape>
                  <v:rect id="Rectangle 13"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v:textbox>
                  </v:rect>
                  <v:shape id="Text Box 16" o:spid="_x0000_s1033"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6117F80" w14:textId="6AB11439" w:rsidR="00760030" w:rsidRPr="00760030" w:rsidRDefault="000F1B96" w:rsidP="00760030">
                          <w:pPr>
                            <w:jc w:val="center"/>
                            <w:rPr>
                              <w:lang w:val="es-CO"/>
                            </w:rPr>
                          </w:pPr>
                          <w:r>
                            <w:rPr>
                              <w:lang w:val="es-CO"/>
                            </w:rPr>
                            <w:t>M</w:t>
                          </w:r>
                          <w:r w:rsidR="00573D74">
                            <w:rPr>
                              <w:lang w:val="es-CO"/>
                            </w:rPr>
                            <w:t>ediator</w:t>
                          </w:r>
                        </w:p>
                      </w:txbxContent>
                    </v:textbox>
                  </v:shape>
                  <v:shape id="Text Box 17" o:spid="_x0000_s1034"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33B12634" w14:textId="125904CC" w:rsidR="00760030" w:rsidRPr="00760030" w:rsidRDefault="00760030" w:rsidP="00760030">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6"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7" type="#_x0000_t32" style="position:absolute;left:17858;top:8477;width:8527;height:4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group>
            </w:pict>
          </mc:Fallback>
        </mc:AlternateContent>
      </w:r>
    </w:p>
    <w:p w14:paraId="23A1D07F" w14:textId="3B1E89CB" w:rsidR="00A57813" w:rsidRDefault="00A57813">
      <w:pPr>
        <w:spacing w:line="360" w:lineRule="auto"/>
        <w:jc w:val="both"/>
        <w:rPr>
          <w:rFonts w:ascii="Times New Roman"/>
          <w:sz w:val="24"/>
        </w:rPr>
      </w:pPr>
    </w:p>
    <w:p w14:paraId="4BF298BE" w14:textId="5CFF3943" w:rsidR="00A57813" w:rsidRDefault="00A57813">
      <w:pPr>
        <w:spacing w:line="360" w:lineRule="auto"/>
        <w:jc w:val="both"/>
        <w:rPr>
          <w:rFonts w:ascii="Times New Roman"/>
          <w:sz w:val="24"/>
        </w:rPr>
      </w:pPr>
    </w:p>
    <w:p w14:paraId="3E2DDC0B" w14:textId="464494FC" w:rsidR="00A57813" w:rsidRDefault="00573D74">
      <w:pPr>
        <w:spacing w:line="360" w:lineRule="auto"/>
        <w:jc w:val="both"/>
        <w:rPr>
          <w:rFonts w:ascii="Times New Roman"/>
          <w:sz w:val="24"/>
        </w:rPr>
      </w:pPr>
      <w:r>
        <w:rPr>
          <w:noProof/>
        </w:rPr>
        <mc:AlternateContent>
          <mc:Choice Requires="wps">
            <w:drawing>
              <wp:anchor distT="0" distB="0" distL="114300" distR="114300" simplePos="0" relativeHeight="251660288" behindDoc="0" locked="0" layoutInCell="1" allowOverlap="1" wp14:anchorId="1FE38AB2" wp14:editId="3CEFDB33">
                <wp:simplePos x="0" y="0"/>
                <wp:positionH relativeFrom="column">
                  <wp:posOffset>3938270</wp:posOffset>
                </wp:positionH>
                <wp:positionV relativeFrom="paragraph">
                  <wp:posOffset>186055</wp:posOffset>
                </wp:positionV>
                <wp:extent cx="1066800" cy="485775"/>
                <wp:effectExtent l="0" t="0" r="76200" b="66675"/>
                <wp:wrapNone/>
                <wp:docPr id="8" name="Straight Arrow Connector 6"/>
                <wp:cNvGraphicFramePr/>
                <a:graphic xmlns:a="http://schemas.openxmlformats.org/drawingml/2006/main">
                  <a:graphicData uri="http://schemas.microsoft.com/office/word/2010/wordprocessingShape">
                    <wps:wsp>
                      <wps:cNvCnPr/>
                      <wps:spPr>
                        <a:xfrm>
                          <a:off x="0" y="0"/>
                          <a:ext cx="10668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4C595" id="Straight Arrow Connector 6" o:spid="_x0000_s1026" type="#_x0000_t32" style="position:absolute;margin-left:310.1pt;margin-top:14.65pt;width:8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xHvQEAANADAAAOAAAAZHJzL2Uyb0RvYy54bWysU9uO0zAQfUfiHyy/0yQrtltFTfehu/CC&#10;YMXlA7zOOLHk2NZ4aJK/x3baFAESAu3LxJc5Z2aOT/b302DYCTBoZxtebUrOwErXats1/NvXd292&#10;nAUSthXGWWj4DIHfH16/2o++hhvXO9MCskhiQz36hvdEvi6KIHsYRNg4DzZeKoeDoLjFrmhRjJF9&#10;MMVNWW6L0WHr0UkIIZ4+LJf8kPmVAkmflApAzDQ89kY5Yo7PKRaHvag7FL7X8tyG+I8uBqFtLLpS&#10;PQgS7Dvq36gGLdEFp2gj3VA4pbSEPEOcpip/meZLLzzkWaI4wa8yhZejlR9PR/uEUYbRhzr4J0xT&#10;TAqH9I39sSmLNa9iwURMxsOq3G53ZdRUxru3u9u7u9ukZnFFewz0HtzA0qLhgVDorqejsza+i8Mq&#10;KyZOHwItwAsglTY2RRLaPNqW0eyjeQi1sJ2Bc52UUlzbziuaDSzwz6CYblOjuUx2FBwNspOIXhBS&#10;gqVqZYrZCaa0MSuw/DvwnJ+gkN32L+AVkSs7Syt40Nbhn6rTdGlZLfkXBZa5kwTPrp3zg2Zpom3y&#10;m5wtnnz58z7Drz/i4QcAAAD//wMAUEsDBBQABgAIAAAAIQDlkhvi3gAAAAoBAAAPAAAAZHJzL2Rv&#10;d25yZXYueG1sTI9NT8MwDIbvSPyHyEjcWEIKo5Sm0/iSdoRtl92yxrQVjVM12Vb+PeY0jrYfvX7e&#10;cjH5XhxxjF0gA7czBQKpDq6jxsB2836Tg4jJkrN9IDTwgxEW1eVFaQsXTvSJx3VqBIdQLKyBNqWh&#10;kDLWLXobZ2FA4ttXGL1NPI6NdKM9cbjvpVZqLr3tiD+0dsCXFuvv9cEbeP5Y+eXrbpwwy97u4rQJ&#10;muqVMddX0/IJRMIpnWH402d1qNhpHw7kougNzLXSjBrQjxkIBh7ynBd7JtV9DrIq5f8K1S8AAAD/&#10;/wMAUEsBAi0AFAAGAAgAAAAhALaDOJL+AAAA4QEAABMAAAAAAAAAAAAAAAAAAAAAAFtDb250ZW50&#10;X1R5cGVzXS54bWxQSwECLQAUAAYACAAAACEAOP0h/9YAAACUAQAACwAAAAAAAAAAAAAAAAAvAQAA&#10;X3JlbHMvLnJlbHNQSwECLQAUAAYACAAAACEAmeycR70BAADQAwAADgAAAAAAAAAAAAAAAAAuAgAA&#10;ZHJzL2Uyb0RvYy54bWxQSwECLQAUAAYACAAAACEA5ZIb4t4AAAAKAQAADwAAAAAAAAAAAAAAAAAX&#10;BAAAZHJzL2Rvd25yZXYueG1sUEsFBgAAAAAEAAQA8wAAACIFAAAAAA==&#10;" strokecolor="#4579b8 [3044]">
                <v:stroke endarrow="block"/>
              </v:shape>
            </w:pict>
          </mc:Fallback>
        </mc:AlternateContent>
      </w:r>
    </w:p>
    <w:p w14:paraId="69D52A19" w14:textId="1E3A1472" w:rsidR="00A57813" w:rsidRDefault="00A57813">
      <w:pPr>
        <w:spacing w:line="360" w:lineRule="auto"/>
        <w:jc w:val="both"/>
        <w:rPr>
          <w:rFonts w:ascii="Times New Roman"/>
          <w:sz w:val="24"/>
        </w:rPr>
      </w:pPr>
    </w:p>
    <w:p w14:paraId="39B67B49" w14:textId="2B0AACE6" w:rsidR="00A57813" w:rsidRDefault="00A57813">
      <w:pPr>
        <w:spacing w:line="360" w:lineRule="auto"/>
        <w:jc w:val="both"/>
        <w:rPr>
          <w:rFonts w:ascii="Times New Roman"/>
          <w:sz w:val="24"/>
        </w:rPr>
      </w:pPr>
    </w:p>
    <w:p w14:paraId="30A60898" w14:textId="77777777" w:rsidR="00A57813" w:rsidRDefault="00A57813">
      <w:pPr>
        <w:spacing w:line="360" w:lineRule="auto"/>
        <w:jc w:val="both"/>
        <w:rPr>
          <w:rFonts w:ascii="Times New Roman"/>
          <w:sz w:val="24"/>
        </w:rPr>
      </w:pPr>
    </w:p>
    <w:p w14:paraId="7C92D3FE" w14:textId="2DD1BDF2" w:rsidR="005C3613" w:rsidRDefault="005C3613" w:rsidP="005C3613">
      <w:pPr>
        <w:rPr>
          <w:rFonts w:ascii="Times New Roman"/>
          <w:sz w:val="24"/>
        </w:rPr>
      </w:pPr>
    </w:p>
    <w:p w14:paraId="6270C1E2" w14:textId="1ACAD432" w:rsidR="00FF1488" w:rsidRDefault="00FF1488" w:rsidP="005C3613">
      <w:pPr>
        <w:rPr>
          <w:rFonts w:ascii="Times New Roman"/>
          <w:sz w:val="24"/>
        </w:rPr>
      </w:pPr>
    </w:p>
    <w:p w14:paraId="723B3483" w14:textId="645A8830" w:rsidR="00FF1488" w:rsidRDefault="00FF1488" w:rsidP="005C3613">
      <w:pPr>
        <w:rPr>
          <w:rFonts w:ascii="Times New Roman"/>
          <w:sz w:val="24"/>
        </w:rPr>
      </w:pPr>
    </w:p>
    <w:p w14:paraId="00278A5C" w14:textId="544D36F9" w:rsidR="00FF1488" w:rsidRDefault="00FF1488" w:rsidP="005C3613">
      <w:pPr>
        <w:rPr>
          <w:rFonts w:ascii="Times New Roman"/>
          <w:sz w:val="24"/>
        </w:rPr>
      </w:pPr>
    </w:p>
    <w:p w14:paraId="3142CFF1" w14:textId="6B301016" w:rsidR="00523772" w:rsidRDefault="00523772" w:rsidP="005C3613">
      <w:pPr>
        <w:rPr>
          <w:rFonts w:ascii="Times New Roman"/>
          <w:sz w:val="24"/>
        </w:rPr>
      </w:pPr>
    </w:p>
    <w:p w14:paraId="2DE61D65" w14:textId="700279D7" w:rsidR="00523772" w:rsidRDefault="00523772" w:rsidP="005C3613">
      <w:pPr>
        <w:rPr>
          <w:rFonts w:ascii="Times New Roman"/>
          <w:sz w:val="24"/>
        </w:rPr>
      </w:pPr>
    </w:p>
    <w:p w14:paraId="55C32404" w14:textId="3A499D66" w:rsidR="00DC53BB" w:rsidRDefault="00DC53BB" w:rsidP="005C3613">
      <w:pPr>
        <w:rPr>
          <w:rFonts w:ascii="Times New Roman"/>
          <w:sz w:val="24"/>
        </w:rPr>
      </w:pPr>
    </w:p>
    <w:p w14:paraId="352813C5" w14:textId="04F8F5B0" w:rsidR="00DC53BB" w:rsidRDefault="00DC53BB" w:rsidP="005C3613">
      <w:pPr>
        <w:rPr>
          <w:rFonts w:ascii="Times New Roman"/>
          <w:sz w:val="24"/>
        </w:rPr>
      </w:pPr>
    </w:p>
    <w:p w14:paraId="5DF61AC8" w14:textId="77777777" w:rsidR="00E2442E" w:rsidRDefault="00E2442E" w:rsidP="005C3613">
      <w:pPr>
        <w:rPr>
          <w:rFonts w:ascii="Times New Roman"/>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3 features to </w:t>
            </w:r>
            <w:r>
              <w:rPr>
                <w:rFonts w:ascii="Times New Roman"/>
                <w:color w:val="000000" w:themeColor="text1"/>
                <w:sz w:val="20"/>
                <w:szCs w:val="18"/>
              </w:rPr>
              <w:lastRenderedPageBreak/>
              <w:t>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3F5B06D7"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 xml:space="preserve">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Pr>
          <w:rFonts w:ascii="Times New Roman"/>
          <w:color w:val="000000" w:themeColor="text1"/>
          <w:sz w:val="24"/>
        </w:rPr>
        <w:t>Then</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described,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 object.</w:t>
      </w:r>
    </w:p>
    <w:p w14:paraId="7C2A88E8" w14:textId="7DAC03F1"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24CAF4B0" w14:textId="11D450F0" w:rsidR="00DA19D4" w:rsidRDefault="00DA19D4" w:rsidP="00DB762D">
      <w:pPr>
        <w:spacing w:before="137" w:line="360" w:lineRule="auto"/>
        <w:ind w:left="200" w:right="115" w:firstLine="520"/>
        <w:jc w:val="both"/>
        <w:rPr>
          <w:rFonts w:ascii="Times New Roman"/>
          <w:color w:val="000000" w:themeColor="text1"/>
          <w:sz w:val="24"/>
        </w:rPr>
      </w:pPr>
    </w:p>
    <w:p w14:paraId="1931CB73" w14:textId="2656C076" w:rsidR="0089105A" w:rsidRDefault="0089105A" w:rsidP="00DB762D">
      <w:pPr>
        <w:spacing w:before="137" w:line="360" w:lineRule="auto"/>
        <w:ind w:left="200" w:right="115" w:firstLine="520"/>
        <w:jc w:val="both"/>
        <w:rPr>
          <w:rFonts w:ascii="Times New Roman"/>
          <w:color w:val="000000" w:themeColor="text1"/>
          <w:sz w:val="24"/>
        </w:rPr>
      </w:pPr>
    </w:p>
    <w:p w14:paraId="692245DB" w14:textId="62DEDE57" w:rsidR="0089105A" w:rsidRDefault="0089105A"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t>References/</w:t>
      </w:r>
      <w:proofErr w:type="spellStart"/>
      <w:r>
        <w:t>Referenties</w:t>
      </w:r>
      <w:proofErr w:type="spellEnd"/>
    </w:p>
    <w:p w14:paraId="37139095" w14:textId="7B9B07AD" w:rsidR="00E76076" w:rsidRDefault="00E76076" w:rsidP="00371080">
      <w:pPr>
        <w:pStyle w:val="Heading3"/>
        <w:numPr>
          <w:ilvl w:val="0"/>
          <w:numId w:val="23"/>
        </w:numPr>
        <w:spacing w:line="360" w:lineRule="auto"/>
        <w:jc w:val="left"/>
      </w:pPr>
      <w:r w:rsidRPr="00E76076">
        <w:t xml:space="preserve">Dhar, R., &amp; </w:t>
      </w:r>
      <w:proofErr w:type="spellStart"/>
      <w:r w:rsidRPr="00E76076">
        <w:t>Wertenbroch</w:t>
      </w:r>
      <w:proofErr w:type="spellEnd"/>
      <w:r w:rsidRPr="00E76076">
        <w:t>, K. (2000). Consumer Choice Between Hedonic and 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 xml:space="preserve">Du, R., Hu, Y., &amp; </w:t>
      </w:r>
      <w:proofErr w:type="spellStart"/>
      <w:r w:rsidRPr="004479A1">
        <w:t>Damangir</w:t>
      </w:r>
      <w:proofErr w:type="spellEnd"/>
      <w:r w:rsidRPr="004479A1">
        <w:t>,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 xml:space="preserve">Lacy, P., Long, J., &amp; Spindler, W. (2020). The Circular Economy Handbook: Realizing the Circular Advantage. London: Palgrave </w:t>
      </w:r>
      <w:proofErr w:type="spellStart"/>
      <w:r w:rsidRPr="004479A1">
        <w:t>macmillan</w:t>
      </w:r>
      <w:proofErr w:type="spellEnd"/>
      <w:r w:rsidRPr="004479A1">
        <w:t>.</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Lee, Y., &amp; Kim, H. (2020). The Effect of Online Customization on Consumers’ Happiness and Purchase Intention and the Mediating Roles of Autonomy, 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proofErr w:type="spellStart"/>
      <w:r w:rsidRPr="004479A1">
        <w:t>Morewedge</w:t>
      </w:r>
      <w:proofErr w:type="spellEnd"/>
      <w:r w:rsidRPr="004479A1">
        <w:t xml:space="preserve">, C., Monga, A., </w:t>
      </w:r>
      <w:proofErr w:type="spellStart"/>
      <w:r w:rsidRPr="004479A1">
        <w:t>Palmatier</w:t>
      </w:r>
      <w:proofErr w:type="spellEnd"/>
      <w:r w:rsidRPr="004479A1">
        <w:t>, R., Shu, S., &amp; Small, D. (2021). Evolution of 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 xml:space="preserve">Norton, M., </w:t>
      </w:r>
      <w:proofErr w:type="spellStart"/>
      <w:r w:rsidRPr="004479A1">
        <w:t>Mochon</w:t>
      </w:r>
      <w:proofErr w:type="spellEnd"/>
      <w:r w:rsidRPr="004479A1">
        <w:t xml:space="preserve">, D., &amp; </w:t>
      </w:r>
      <w:proofErr w:type="spellStart"/>
      <w:proofErr w:type="gramStart"/>
      <w:r w:rsidRPr="004479A1">
        <w:t>Ariely</w:t>
      </w:r>
      <w:proofErr w:type="spellEnd"/>
      <w:r w:rsidRPr="004479A1">
        <w:t xml:space="preserve"> ,</w:t>
      </w:r>
      <w:proofErr w:type="gramEnd"/>
      <w:r w:rsidRPr="004479A1">
        <w:t xml:space="preserve"> D. (2012). The “IKEA Effect”: When Labor Leads to Love. Journal of Consumer Psychology, 453-460.</w:t>
      </w:r>
    </w:p>
    <w:p w14:paraId="7F88D87D" w14:textId="45BA7E8E" w:rsidR="004479A1" w:rsidRDefault="004479A1" w:rsidP="00371080">
      <w:pPr>
        <w:pStyle w:val="Heading3"/>
        <w:numPr>
          <w:ilvl w:val="0"/>
          <w:numId w:val="23"/>
        </w:numPr>
        <w:spacing w:line="360" w:lineRule="auto"/>
        <w:jc w:val="left"/>
      </w:pPr>
      <w:proofErr w:type="spellStart"/>
      <w:r w:rsidRPr="004479A1">
        <w:rPr>
          <w:lang w:val="es-CO"/>
        </w:rPr>
        <w:t>Orasmaa</w:t>
      </w:r>
      <w:proofErr w:type="spellEnd"/>
      <w:r w:rsidRPr="004479A1">
        <w:rPr>
          <w:lang w:val="es-CO"/>
        </w:rPr>
        <w:t xml:space="preserve">, A., </w:t>
      </w:r>
      <w:proofErr w:type="spellStart"/>
      <w:r w:rsidRPr="004479A1">
        <w:rPr>
          <w:lang w:val="es-CO"/>
        </w:rPr>
        <w:t>Laurila</w:t>
      </w:r>
      <w:proofErr w:type="spellEnd"/>
      <w:r w:rsidRPr="004479A1">
        <w:rPr>
          <w:lang w:val="es-CO"/>
        </w:rPr>
        <w:t xml:space="preserve">, L., &amp; </w:t>
      </w:r>
      <w:proofErr w:type="spellStart"/>
      <w:r w:rsidRPr="004479A1">
        <w:rPr>
          <w:lang w:val="es-CO"/>
        </w:rPr>
        <w:t>Liimatainen</w:t>
      </w:r>
      <w:proofErr w:type="spellEnd"/>
      <w:r w:rsidRPr="004479A1">
        <w:rPr>
          <w:lang w:val="es-CO"/>
        </w:rPr>
        <w:t xml:space="preserve">, H. (2020). </w:t>
      </w:r>
      <w:r w:rsidRPr="004479A1">
        <w:t xml:space="preserve">Rethinking ownership. </w:t>
      </w:r>
      <w:proofErr w:type="spellStart"/>
      <w:r w:rsidRPr="004479A1">
        <w:t>Sitra</w:t>
      </w:r>
      <w:proofErr w:type="spellEnd"/>
      <w:r w:rsidRPr="004479A1">
        <w:t xml:space="preserve"> studies, 1-42.</w:t>
      </w:r>
    </w:p>
    <w:p w14:paraId="1E95ECD2" w14:textId="3FDB6DE7" w:rsidR="004479A1" w:rsidRDefault="004479A1" w:rsidP="00371080">
      <w:pPr>
        <w:pStyle w:val="Heading3"/>
        <w:numPr>
          <w:ilvl w:val="0"/>
          <w:numId w:val="23"/>
        </w:numPr>
        <w:spacing w:line="360" w:lineRule="auto"/>
        <w:jc w:val="left"/>
      </w:pPr>
      <w:r w:rsidRPr="004479A1">
        <w:rPr>
          <w:lang w:val="nl-NL"/>
        </w:rPr>
        <w:t xml:space="preserve">Pierce, J., &amp; Van Dyne, L. (2004). </w:t>
      </w:r>
      <w:r w:rsidRPr="004479A1">
        <w:t xml:space="preserve">Psychological Ownership and Feelings of </w:t>
      </w:r>
      <w:r w:rsidRPr="004479A1">
        <w:lastRenderedPageBreak/>
        <w:t>Possession: Three Field Studies Predicting Employee Attitudes and Organizational 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 xml:space="preserve">Schreier, M. (2006). The value increment of mass-customized products: an empirical assessment. Journal of Consumer </w:t>
      </w:r>
      <w:proofErr w:type="spellStart"/>
      <w:r w:rsidRPr="004479A1">
        <w:t>Behaviour</w:t>
      </w:r>
      <w:proofErr w:type="spellEnd"/>
      <w:r w:rsidRPr="004479A1">
        <w:t>, 317-327.</w:t>
      </w:r>
    </w:p>
    <w:p w14:paraId="318FFFFB" w14:textId="2D03405A" w:rsidR="00371080" w:rsidRDefault="00371080" w:rsidP="00371080">
      <w:pPr>
        <w:pStyle w:val="Heading3"/>
        <w:numPr>
          <w:ilvl w:val="0"/>
          <w:numId w:val="23"/>
        </w:numPr>
        <w:spacing w:line="360" w:lineRule="auto"/>
        <w:jc w:val="left"/>
      </w:pPr>
      <w:proofErr w:type="spellStart"/>
      <w:r w:rsidRPr="00371080">
        <w:t>Swait</w:t>
      </w:r>
      <w:proofErr w:type="spellEnd"/>
      <w:r w:rsidRPr="00371080">
        <w:t xml:space="preserve">, J., &amp; </w:t>
      </w:r>
      <w:proofErr w:type="spellStart"/>
      <w:r w:rsidRPr="00371080">
        <w:t>Adamowicz</w:t>
      </w:r>
      <w:proofErr w:type="spellEnd"/>
      <w:r w:rsidRPr="00371080">
        <w:t>,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D61E" w14:textId="77777777" w:rsidR="001401CC" w:rsidRDefault="001401CC">
      <w:r>
        <w:separator/>
      </w:r>
    </w:p>
  </w:endnote>
  <w:endnote w:type="continuationSeparator" w:id="0">
    <w:p w14:paraId="7A50DFE3" w14:textId="77777777" w:rsidR="001401CC" w:rsidRDefault="001401CC">
      <w:r>
        <w:continuationSeparator/>
      </w:r>
    </w:p>
  </w:endnote>
  <w:endnote w:type="continuationNotice" w:id="1">
    <w:p w14:paraId="15A734DA" w14:textId="77777777" w:rsidR="001401CC" w:rsidRDefault="001401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3739A" w14:textId="77777777" w:rsidR="001401CC" w:rsidRDefault="001401CC">
      <w:r>
        <w:separator/>
      </w:r>
    </w:p>
  </w:footnote>
  <w:footnote w:type="continuationSeparator" w:id="0">
    <w:p w14:paraId="14ADD660" w14:textId="77777777" w:rsidR="001401CC" w:rsidRDefault="001401CC">
      <w:r>
        <w:continuationSeparator/>
      </w:r>
    </w:p>
  </w:footnote>
  <w:footnote w:type="continuationNotice" w:id="1">
    <w:p w14:paraId="37D8650C" w14:textId="77777777" w:rsidR="001401CC" w:rsidRDefault="001401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6DA9"/>
    <w:rsid w:val="00060776"/>
    <w:rsid w:val="00060E5B"/>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5D07"/>
    <w:rsid w:val="00226B71"/>
    <w:rsid w:val="00227910"/>
    <w:rsid w:val="00232F85"/>
    <w:rsid w:val="00241E3D"/>
    <w:rsid w:val="002426AE"/>
    <w:rsid w:val="00244270"/>
    <w:rsid w:val="00256059"/>
    <w:rsid w:val="002569C6"/>
    <w:rsid w:val="00263DD5"/>
    <w:rsid w:val="00265661"/>
    <w:rsid w:val="0026597C"/>
    <w:rsid w:val="00265D5B"/>
    <w:rsid w:val="002675C5"/>
    <w:rsid w:val="00267A83"/>
    <w:rsid w:val="00272C6E"/>
    <w:rsid w:val="00281214"/>
    <w:rsid w:val="00290B0B"/>
    <w:rsid w:val="00294DED"/>
    <w:rsid w:val="002A224B"/>
    <w:rsid w:val="002A328D"/>
    <w:rsid w:val="002A414D"/>
    <w:rsid w:val="002B32CE"/>
    <w:rsid w:val="002B3DE2"/>
    <w:rsid w:val="002C0499"/>
    <w:rsid w:val="002D163E"/>
    <w:rsid w:val="002D2B62"/>
    <w:rsid w:val="002D32F9"/>
    <w:rsid w:val="002E2DD6"/>
    <w:rsid w:val="002E3CFE"/>
    <w:rsid w:val="002E63DF"/>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835AC"/>
    <w:rsid w:val="00385119"/>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33B0"/>
    <w:rsid w:val="00403CFF"/>
    <w:rsid w:val="004043FB"/>
    <w:rsid w:val="004101FA"/>
    <w:rsid w:val="004125A4"/>
    <w:rsid w:val="004160DB"/>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A0297"/>
    <w:rsid w:val="004A3C7C"/>
    <w:rsid w:val="004A4CEF"/>
    <w:rsid w:val="004A5327"/>
    <w:rsid w:val="004A5462"/>
    <w:rsid w:val="004B2B55"/>
    <w:rsid w:val="004B5E93"/>
    <w:rsid w:val="004C16D5"/>
    <w:rsid w:val="004C2CE1"/>
    <w:rsid w:val="004C3B09"/>
    <w:rsid w:val="004C3DBB"/>
    <w:rsid w:val="004D4AB4"/>
    <w:rsid w:val="004F18C5"/>
    <w:rsid w:val="004F19EC"/>
    <w:rsid w:val="00500C1C"/>
    <w:rsid w:val="00502FF5"/>
    <w:rsid w:val="00506C52"/>
    <w:rsid w:val="005145B5"/>
    <w:rsid w:val="00523772"/>
    <w:rsid w:val="00523788"/>
    <w:rsid w:val="00523BEB"/>
    <w:rsid w:val="005314C2"/>
    <w:rsid w:val="0053515B"/>
    <w:rsid w:val="005415D9"/>
    <w:rsid w:val="00545273"/>
    <w:rsid w:val="0055354E"/>
    <w:rsid w:val="00553F9F"/>
    <w:rsid w:val="00563D77"/>
    <w:rsid w:val="00570544"/>
    <w:rsid w:val="005726AC"/>
    <w:rsid w:val="00573D74"/>
    <w:rsid w:val="00574373"/>
    <w:rsid w:val="00574B88"/>
    <w:rsid w:val="00575884"/>
    <w:rsid w:val="00577C4D"/>
    <w:rsid w:val="005805B3"/>
    <w:rsid w:val="0058276A"/>
    <w:rsid w:val="00591785"/>
    <w:rsid w:val="0059662B"/>
    <w:rsid w:val="005B1210"/>
    <w:rsid w:val="005B5DFE"/>
    <w:rsid w:val="005C2BFC"/>
    <w:rsid w:val="005C3613"/>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DF6"/>
    <w:rsid w:val="00647056"/>
    <w:rsid w:val="00650409"/>
    <w:rsid w:val="006513AC"/>
    <w:rsid w:val="006522D8"/>
    <w:rsid w:val="00654962"/>
    <w:rsid w:val="00656130"/>
    <w:rsid w:val="00660074"/>
    <w:rsid w:val="006605C5"/>
    <w:rsid w:val="0066112A"/>
    <w:rsid w:val="00662845"/>
    <w:rsid w:val="00666D83"/>
    <w:rsid w:val="00670A03"/>
    <w:rsid w:val="0067286B"/>
    <w:rsid w:val="00683802"/>
    <w:rsid w:val="006840E3"/>
    <w:rsid w:val="00695298"/>
    <w:rsid w:val="0069574C"/>
    <w:rsid w:val="006973FD"/>
    <w:rsid w:val="006A11A3"/>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6F5797"/>
    <w:rsid w:val="00711AE6"/>
    <w:rsid w:val="00721CFA"/>
    <w:rsid w:val="00730871"/>
    <w:rsid w:val="00735469"/>
    <w:rsid w:val="00735E42"/>
    <w:rsid w:val="00741EC0"/>
    <w:rsid w:val="00742446"/>
    <w:rsid w:val="0074592A"/>
    <w:rsid w:val="00747A87"/>
    <w:rsid w:val="00755F94"/>
    <w:rsid w:val="00760030"/>
    <w:rsid w:val="00761922"/>
    <w:rsid w:val="007650F2"/>
    <w:rsid w:val="007812B6"/>
    <w:rsid w:val="00781B26"/>
    <w:rsid w:val="0078506B"/>
    <w:rsid w:val="00787FF5"/>
    <w:rsid w:val="00792D35"/>
    <w:rsid w:val="00793098"/>
    <w:rsid w:val="00797BA1"/>
    <w:rsid w:val="00797D03"/>
    <w:rsid w:val="007A0BE6"/>
    <w:rsid w:val="007A257D"/>
    <w:rsid w:val="007A2F3F"/>
    <w:rsid w:val="007B39A3"/>
    <w:rsid w:val="007B725D"/>
    <w:rsid w:val="007C02DE"/>
    <w:rsid w:val="007C0C9C"/>
    <w:rsid w:val="007D7F98"/>
    <w:rsid w:val="007E3691"/>
    <w:rsid w:val="007E7935"/>
    <w:rsid w:val="007F3E68"/>
    <w:rsid w:val="007F5C3E"/>
    <w:rsid w:val="007F6614"/>
    <w:rsid w:val="00812D57"/>
    <w:rsid w:val="00816611"/>
    <w:rsid w:val="00817865"/>
    <w:rsid w:val="008216CB"/>
    <w:rsid w:val="00835945"/>
    <w:rsid w:val="008473B0"/>
    <w:rsid w:val="00850216"/>
    <w:rsid w:val="00863921"/>
    <w:rsid w:val="00865319"/>
    <w:rsid w:val="00867A55"/>
    <w:rsid w:val="00872DD3"/>
    <w:rsid w:val="0087541D"/>
    <w:rsid w:val="008759E7"/>
    <w:rsid w:val="0089105A"/>
    <w:rsid w:val="00896AD5"/>
    <w:rsid w:val="008A2766"/>
    <w:rsid w:val="008B5DF2"/>
    <w:rsid w:val="008C082F"/>
    <w:rsid w:val="008C1264"/>
    <w:rsid w:val="008C7F8F"/>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12C48"/>
    <w:rsid w:val="009130B9"/>
    <w:rsid w:val="00914B39"/>
    <w:rsid w:val="009218AC"/>
    <w:rsid w:val="0092522D"/>
    <w:rsid w:val="009374F6"/>
    <w:rsid w:val="00937922"/>
    <w:rsid w:val="00943DCC"/>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23B4"/>
    <w:rsid w:val="00A12612"/>
    <w:rsid w:val="00A12BF0"/>
    <w:rsid w:val="00A45E54"/>
    <w:rsid w:val="00A55422"/>
    <w:rsid w:val="00A55946"/>
    <w:rsid w:val="00A560D9"/>
    <w:rsid w:val="00A57813"/>
    <w:rsid w:val="00A57B1E"/>
    <w:rsid w:val="00A61214"/>
    <w:rsid w:val="00A6194E"/>
    <w:rsid w:val="00A675F1"/>
    <w:rsid w:val="00A87A9B"/>
    <w:rsid w:val="00A91749"/>
    <w:rsid w:val="00A92517"/>
    <w:rsid w:val="00AA10AA"/>
    <w:rsid w:val="00AA3DDB"/>
    <w:rsid w:val="00AB1182"/>
    <w:rsid w:val="00AB6252"/>
    <w:rsid w:val="00AB7C0B"/>
    <w:rsid w:val="00AD4BF8"/>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76775"/>
    <w:rsid w:val="00B821BD"/>
    <w:rsid w:val="00B83F67"/>
    <w:rsid w:val="00B8790B"/>
    <w:rsid w:val="00B90418"/>
    <w:rsid w:val="00B90BCE"/>
    <w:rsid w:val="00B92250"/>
    <w:rsid w:val="00B924CE"/>
    <w:rsid w:val="00BA321F"/>
    <w:rsid w:val="00BA4071"/>
    <w:rsid w:val="00BA6A92"/>
    <w:rsid w:val="00BB0A0B"/>
    <w:rsid w:val="00BB1ACE"/>
    <w:rsid w:val="00BB7A44"/>
    <w:rsid w:val="00BC4E63"/>
    <w:rsid w:val="00BC55EE"/>
    <w:rsid w:val="00BC78D2"/>
    <w:rsid w:val="00BD1243"/>
    <w:rsid w:val="00BD16DA"/>
    <w:rsid w:val="00BD251E"/>
    <w:rsid w:val="00BE47BB"/>
    <w:rsid w:val="00BE6689"/>
    <w:rsid w:val="00BF134E"/>
    <w:rsid w:val="00BF2A48"/>
    <w:rsid w:val="00BF63F6"/>
    <w:rsid w:val="00BF6EBA"/>
    <w:rsid w:val="00C03D06"/>
    <w:rsid w:val="00C068A6"/>
    <w:rsid w:val="00C07790"/>
    <w:rsid w:val="00C13F03"/>
    <w:rsid w:val="00C17631"/>
    <w:rsid w:val="00C214AF"/>
    <w:rsid w:val="00C21CB1"/>
    <w:rsid w:val="00C2238D"/>
    <w:rsid w:val="00C30B65"/>
    <w:rsid w:val="00C44EC5"/>
    <w:rsid w:val="00C526D3"/>
    <w:rsid w:val="00C61FFF"/>
    <w:rsid w:val="00C70139"/>
    <w:rsid w:val="00C74579"/>
    <w:rsid w:val="00C753C2"/>
    <w:rsid w:val="00C76913"/>
    <w:rsid w:val="00C8106B"/>
    <w:rsid w:val="00C83BB3"/>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30DB"/>
    <w:rsid w:val="00DC5392"/>
    <w:rsid w:val="00DC539B"/>
    <w:rsid w:val="00DC53BB"/>
    <w:rsid w:val="00DC5F5F"/>
    <w:rsid w:val="00DD0E16"/>
    <w:rsid w:val="00DD25B5"/>
    <w:rsid w:val="00DD2B96"/>
    <w:rsid w:val="00DD2DCF"/>
    <w:rsid w:val="00DD38FE"/>
    <w:rsid w:val="00DD5EAF"/>
    <w:rsid w:val="00DE251A"/>
    <w:rsid w:val="00DE25B3"/>
    <w:rsid w:val="00DF2F9F"/>
    <w:rsid w:val="00E01A28"/>
    <w:rsid w:val="00E048E4"/>
    <w:rsid w:val="00E104FA"/>
    <w:rsid w:val="00E23B6C"/>
    <w:rsid w:val="00E2442E"/>
    <w:rsid w:val="00E3094D"/>
    <w:rsid w:val="00E42E8A"/>
    <w:rsid w:val="00E5106D"/>
    <w:rsid w:val="00E557B7"/>
    <w:rsid w:val="00E627C0"/>
    <w:rsid w:val="00E7056D"/>
    <w:rsid w:val="00E70880"/>
    <w:rsid w:val="00E719B1"/>
    <w:rsid w:val="00E76076"/>
    <w:rsid w:val="00E76A91"/>
    <w:rsid w:val="00E77192"/>
    <w:rsid w:val="00E82F61"/>
    <w:rsid w:val="00E839C3"/>
    <w:rsid w:val="00E8493B"/>
    <w:rsid w:val="00E8749E"/>
    <w:rsid w:val="00E94A86"/>
    <w:rsid w:val="00EA0994"/>
    <w:rsid w:val="00EB11A5"/>
    <w:rsid w:val="00EB13FF"/>
    <w:rsid w:val="00EC01FB"/>
    <w:rsid w:val="00EC4146"/>
    <w:rsid w:val="00EC4224"/>
    <w:rsid w:val="00EC774C"/>
    <w:rsid w:val="00ED0361"/>
    <w:rsid w:val="00ED1FFF"/>
    <w:rsid w:val="00ED3B7A"/>
    <w:rsid w:val="00EE196A"/>
    <w:rsid w:val="00EE33B5"/>
    <w:rsid w:val="00EE6B79"/>
    <w:rsid w:val="00EF0141"/>
    <w:rsid w:val="00EF7F31"/>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5517"/>
    <w:rsid w:val="00FA0FFF"/>
    <w:rsid w:val="00FA4E54"/>
    <w:rsid w:val="00FB0F7E"/>
    <w:rsid w:val="00FB1F71"/>
    <w:rsid w:val="00FC0300"/>
    <w:rsid w:val="00FD4885"/>
    <w:rsid w:val="00FD5B86"/>
    <w:rsid w:val="00FE2CF1"/>
    <w:rsid w:val="00FE61A9"/>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3</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4</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5</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6</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7</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8</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9</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10</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11</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14</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18</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19</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20</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21</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22</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23</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24</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25</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26</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b:RefOrder>
  </b:Source>
  <b:Source>
    <b:Tag>Bot11</b:Tag>
    <b:SourceType>JournalArticle</b:SourceType>
    <b:Guid>{1EBFE629-2915-4A15-B4BF-38BD0E477F89}</b:Guid>
    <b:Title>The Locus of Choice: Personal Causality and Satisfaction with Hedonic and Utilitarian Decisions</b:Title>
    <b:Year>2011</b:Year>
    <b:Author>
      <b:Author>
        <b:NameList>
          <b:Person>
            <b:Last>Botti</b:Last>
            <b:First>Simona</b:First>
          </b:Person>
          <b:Person>
            <b:Last>Mcgill</b:Last>
            <b:First>Ann</b:First>
          </b:Person>
        </b:NameList>
      </b:Author>
    </b:Author>
    <b:JournalName>Journal of Consumer Research</b:JournalName>
    <b:Pages>1065-1078</b:Pages>
    <b:RefOrder>29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30</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s>
</file>

<file path=customXml/itemProps1.xml><?xml version="1.0" encoding="utf-8"?>
<ds:datastoreItem xmlns:ds="http://schemas.openxmlformats.org/officeDocument/2006/customXml" ds:itemID="{B2A0B963-A9FE-4B08-9DD5-5157B30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29</cp:revision>
  <cp:lastPrinted>2022-08-11T14:32:00Z</cp:lastPrinted>
  <dcterms:created xsi:type="dcterms:W3CDTF">2022-09-15T09:23:00Z</dcterms:created>
  <dcterms:modified xsi:type="dcterms:W3CDTF">2022-09-17T10:30:00Z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