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0EC594DE" w:rsidR="00085AAB" w:rsidRDefault="006D386D">
      <w:pPr>
        <w:ind w:left="400" w:right="321"/>
        <w:jc w:val="center"/>
        <w:rPr>
          <w:rFonts w:ascii="Times New Roman"/>
          <w:b/>
          <w:sz w:val="26"/>
        </w:rPr>
      </w:pPr>
      <w:bookmarkStart w:id="1" w:name="_bookmark0"/>
      <w:bookmarkEnd w:id="1"/>
      <w:r>
        <w:rPr>
          <w:rFonts w:ascii="Times New Roman"/>
          <w:b/>
          <w:sz w:val="32"/>
        </w:rPr>
        <w:t>R</w:t>
      </w:r>
      <w:r>
        <w:rPr>
          <w:rFonts w:ascii="Times New Roman"/>
          <w:b/>
          <w:sz w:val="26"/>
        </w:rPr>
        <w:t>ESEARCH</w:t>
      </w:r>
      <w:r>
        <w:rPr>
          <w:rFonts w:ascii="Times New Roman"/>
          <w:b/>
          <w:spacing w:val="-2"/>
          <w:sz w:val="26"/>
        </w:rPr>
        <w:t xml:space="preserve"> </w:t>
      </w:r>
      <w:r>
        <w:rPr>
          <w:rFonts w:ascii="Times New Roman"/>
          <w:b/>
          <w:sz w:val="32"/>
        </w:rPr>
        <w:t>P</w:t>
      </w:r>
      <w:r>
        <w:rPr>
          <w:rFonts w:ascii="Times New Roman"/>
          <w:b/>
          <w:sz w:val="26"/>
        </w:rPr>
        <w:t>ROPOSAL</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5171" behindDoc="1" locked="0" layoutInCell="1" allowOverlap="1" wp14:anchorId="17D4B17F" wp14:editId="6FE66BA1">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BA86" id="Freeform 3" o:spid="_x0000_s1026" style="position:absolute;margin-left:1in;margin-top:15.95pt;width:450pt;height:.1pt;z-index:-2516613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Pr>
          <w:rFonts w:ascii="Times New Roman"/>
          <w:color w:val="FF0000"/>
          <w:sz w:val="24"/>
        </w:rPr>
        <w:t>Riano Martinez Francisco</w:t>
      </w:r>
    </w:p>
    <w:p w14:paraId="75DB2DD7" w14:textId="0B92B43B" w:rsidR="00085AAB" w:rsidRDefault="006D386D">
      <w:pPr>
        <w:tabs>
          <w:tab w:val="left" w:pos="1640"/>
        </w:tabs>
        <w:ind w:left="200"/>
        <w:rPr>
          <w:rFonts w:ascii="Times New Roman"/>
          <w:sz w:val="24"/>
        </w:rPr>
      </w:pPr>
      <w:r>
        <w:rPr>
          <w:rFonts w:ascii="Times New Roman"/>
          <w:sz w:val="24"/>
        </w:rPr>
        <w:t>SNR:</w:t>
      </w:r>
      <w:r>
        <w:rPr>
          <w:rFonts w:ascii="Times New Roman"/>
          <w:sz w:val="24"/>
        </w:rPr>
        <w:tab/>
      </w:r>
      <w:r w:rsidR="007F5C3E">
        <w:rPr>
          <w:rFonts w:ascii="Times New Roman"/>
          <w:color w:val="FF0000"/>
          <w:sz w:val="24"/>
        </w:rPr>
        <w:t>2070510</w:t>
      </w:r>
    </w:p>
    <w:p w14:paraId="747A7AC0" w14:textId="31D1D280" w:rsidR="00085AAB" w:rsidRDefault="00322D6D">
      <w:pPr>
        <w:tabs>
          <w:tab w:val="left" w:pos="1640"/>
        </w:tabs>
        <w:ind w:left="200"/>
        <w:rPr>
          <w:rFonts w:ascii="Times New Roman"/>
          <w:sz w:val="24"/>
        </w:rPr>
      </w:pPr>
      <w:r>
        <w:rPr>
          <w:noProof/>
        </w:rPr>
        <mc:AlternateContent>
          <mc:Choice Requires="wps">
            <w:drawing>
              <wp:anchor distT="0" distB="0" distL="0" distR="0" simplePos="0" relativeHeight="251655172" behindDoc="1" locked="0" layoutInCell="1" allowOverlap="1" wp14:anchorId="55AA1400" wp14:editId="52AC29F1">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304D9" id="Freeform 2" o:spid="_x0000_s1026" style="position:absolute;margin-left:1in;margin-top:15.3pt;width:450pt;height:.1pt;z-index:-2516613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Pr>
          <w:rFonts w:ascii="Times New Roman"/>
          <w:sz w:val="24"/>
        </w:rPr>
        <w:t>Company:</w:t>
      </w:r>
      <w:r w:rsidR="006D386D">
        <w:rPr>
          <w:rFonts w:ascii="Times New Roman"/>
          <w:sz w:val="24"/>
        </w:rPr>
        <w:tab/>
      </w:r>
      <w:r w:rsidR="007F5C3E">
        <w:rPr>
          <w:rFonts w:ascii="Times New Roman"/>
          <w:color w:val="FF0000"/>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138435A2" w14:textId="6553E2DD" w:rsidR="00085AAB" w:rsidRDefault="000156CF" w:rsidP="000156CF">
      <w:pPr>
        <w:pStyle w:val="Heading3"/>
        <w:tabs>
          <w:tab w:val="left" w:pos="441"/>
        </w:tabs>
        <w:spacing w:before="79"/>
        <w:ind w:left="0"/>
        <w:jc w:val="left"/>
      </w:pPr>
      <w:r>
        <w:lastRenderedPageBreak/>
        <w:t>1.</w:t>
      </w:r>
      <w:r w:rsidR="006D386D">
        <w:t>Business</w:t>
      </w:r>
      <w:r w:rsidR="006D386D">
        <w:rPr>
          <w:spacing w:val="-4"/>
        </w:rPr>
        <w:t xml:space="preserve"> </w:t>
      </w:r>
      <w:r w:rsidR="006D386D">
        <w:t>Problem:</w:t>
      </w:r>
      <w:r w:rsidR="006D386D">
        <w:rPr>
          <w:spacing w:val="-4"/>
        </w:rPr>
        <w:t xml:space="preserve"> </w:t>
      </w:r>
      <w:r w:rsidR="006D386D">
        <w:t>Background</w:t>
      </w:r>
      <w:r w:rsidR="006D386D">
        <w:rPr>
          <w:spacing w:val="-1"/>
        </w:rPr>
        <w:t xml:space="preserve"> </w:t>
      </w:r>
      <w:r w:rsidR="006D386D">
        <w:t>/</w:t>
      </w:r>
      <w:r w:rsidR="006D386D">
        <w:rPr>
          <w:spacing w:val="-3"/>
        </w:rPr>
        <w:t xml:space="preserve"> </w:t>
      </w:r>
      <w:r w:rsidR="006D386D">
        <w:t>Probleemachtergrond</w:t>
      </w:r>
    </w:p>
    <w:p w14:paraId="6BFD896C" w14:textId="77777777" w:rsidR="00085AAB" w:rsidRDefault="00085AAB">
      <w:pPr>
        <w:pStyle w:val="BodyText"/>
        <w:spacing w:before="1"/>
        <w:rPr>
          <w:rFonts w:ascii="Times New Roman"/>
          <w:i/>
          <w:sz w:val="36"/>
        </w:rPr>
      </w:pPr>
    </w:p>
    <w:p w14:paraId="375321A4" w14:textId="61038170" w:rsidR="00D55DE4" w:rsidRDefault="004A3C7C" w:rsidP="005726AC">
      <w:pPr>
        <w:spacing w:line="360" w:lineRule="auto"/>
        <w:ind w:right="117" w:firstLine="720"/>
        <w:jc w:val="both"/>
        <w:rPr>
          <w:rFonts w:ascii="Times New Roman" w:hAnsi="Times New Roman"/>
          <w:sz w:val="24"/>
        </w:rPr>
      </w:pPr>
      <w:r>
        <w:rPr>
          <w:rFonts w:ascii="Times New Roman" w:hAnsi="Times New Roman"/>
          <w:sz w:val="24"/>
        </w:rPr>
        <w:t xml:space="preserve">Nowadays the circular economy concept has taken place on the agenda of some countries specially in Europe,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and strategies aiming to disunite the economic growth from the consumption of scare resources. </w:t>
      </w:r>
    </w:p>
    <w:p w14:paraId="5E897CFA" w14:textId="1BE8225F" w:rsidR="006605C5" w:rsidRDefault="006605C5" w:rsidP="006605C5">
      <w:pPr>
        <w:spacing w:line="360" w:lineRule="auto"/>
        <w:ind w:right="117" w:firstLine="720"/>
        <w:jc w:val="both"/>
        <w:rPr>
          <w:rFonts w:ascii="Times New Roman" w:hAnsi="Times New Roman"/>
          <w:sz w:val="24"/>
        </w:rPr>
      </w:pPr>
      <w:r>
        <w:rPr>
          <w:rFonts w:ascii="Times New Roman" w:hAnsi="Times New Roman"/>
          <w:sz w:val="24"/>
        </w:rPr>
        <w:t xml:space="preserve">One of the new business models produced by the circular economy is the one known as Product-as-a-service (PaaS). In this model the customers are not the owners of the product, rater they rent or lease it. In accordance with </w:t>
      </w:r>
      <w:r w:rsidRPr="00997535">
        <w:rPr>
          <w:rFonts w:ascii="Times New Roman" w:hAnsi="Times New Roman"/>
          <w:sz w:val="24"/>
        </w:rPr>
        <w:t xml:space="preserve">Morewedge et al., </w:t>
      </w:r>
      <w:r>
        <w:rPr>
          <w:rFonts w:ascii="Times New Roman" w:hAnsi="Times New Roman"/>
          <w:sz w:val="24"/>
        </w:rPr>
        <w:t>(</w:t>
      </w:r>
      <w:r w:rsidRPr="00997535">
        <w:rPr>
          <w:rFonts w:ascii="Times New Roman" w:hAnsi="Times New Roman"/>
          <w:sz w:val="24"/>
        </w:rPr>
        <w:t>202</w:t>
      </w:r>
      <w:r>
        <w:rPr>
          <w:rFonts w:ascii="Times New Roman" w:hAnsi="Times New Roman"/>
          <w:sz w:val="24"/>
        </w:rPr>
        <w:t xml:space="preserve">1) it basically represents a transformation from legal ownership to legal access towards the products promoted by the circular economy. The introduction of new business models, such as Product-as-a-service, represents several challenges for companies. One of them is the shift of the psychological ownership that consumers hold towards daily used products. </w:t>
      </w:r>
    </w:p>
    <w:p w14:paraId="752EF4E9" w14:textId="045C5141" w:rsidR="00D55DE4" w:rsidRDefault="00BB1ACE" w:rsidP="006605C5">
      <w:pPr>
        <w:spacing w:before="1" w:line="360" w:lineRule="auto"/>
        <w:ind w:right="117" w:firstLine="720"/>
        <w:jc w:val="both"/>
        <w:rPr>
          <w:rFonts w:ascii="Times New Roman" w:hAnsi="Times New Roman"/>
          <w:sz w:val="24"/>
        </w:rPr>
      </w:pPr>
      <w:r>
        <w:rPr>
          <w:rFonts w:ascii="Times New Roman" w:hAnsi="Times New Roman"/>
          <w:sz w:val="24"/>
        </w:rPr>
        <w:t>Rethinking ownership is necessary because there are global challenges that force us to change our mindset regarding manufacturing products</w:t>
      </w:r>
      <w:r w:rsidR="006605C5">
        <w:rPr>
          <w:rFonts w:ascii="Times New Roman" w:hAnsi="Times New Roman"/>
          <w:sz w:val="24"/>
        </w:rPr>
        <w:t xml:space="preserve"> and the way that these are </w:t>
      </w:r>
      <w:r w:rsidR="00E94A86">
        <w:rPr>
          <w:rFonts w:ascii="Times New Roman" w:hAnsi="Times New Roman"/>
          <w:sz w:val="24"/>
        </w:rPr>
        <w:t>consumed</w:t>
      </w:r>
      <w:r>
        <w:rPr>
          <w:rFonts w:ascii="Times New Roman" w:hAnsi="Times New Roman"/>
          <w:sz w:val="24"/>
        </w:rPr>
        <w:t xml:space="preserve">. </w:t>
      </w:r>
      <w:r w:rsidR="00C44EC5">
        <w:rPr>
          <w:rFonts w:ascii="Times New Roman" w:hAnsi="Times New Roman"/>
          <w:sz w:val="24"/>
        </w:rPr>
        <w:t xml:space="preserve">In accordance with </w:t>
      </w:r>
      <w:r w:rsidR="002B3DE2">
        <w:rPr>
          <w:rFonts w:ascii="Times New Roman" w:hAnsi="Times New Roman"/>
          <w:sz w:val="24"/>
        </w:rPr>
        <w:t>Orasmaa et al. (2020)</w:t>
      </w:r>
      <w:r>
        <w:rPr>
          <w:rFonts w:ascii="Times New Roman" w:hAnsi="Times New Roman"/>
          <w:sz w:val="24"/>
        </w:rPr>
        <w:t xml:space="preserve"> when consumption is based on the use of services rather than the ownership of products, the financial risk borne by the customer is reduced, the usage of the product is more flexible and it facilitates the efficient circulation of materials. </w:t>
      </w:r>
    </w:p>
    <w:p w14:paraId="273C6E2C" w14:textId="743FD816" w:rsidR="00BE47BB" w:rsidRDefault="00BE47BB" w:rsidP="005726AC">
      <w:pPr>
        <w:spacing w:line="360" w:lineRule="auto"/>
        <w:ind w:right="117" w:firstLine="720"/>
        <w:jc w:val="both"/>
        <w:rPr>
          <w:rFonts w:ascii="Times New Roman" w:hAnsi="Times New Roman"/>
          <w:sz w:val="24"/>
        </w:rPr>
      </w:pPr>
      <w:r>
        <w:rPr>
          <w:rFonts w:ascii="Times New Roman" w:hAnsi="Times New Roman"/>
          <w:sz w:val="24"/>
        </w:rPr>
        <w:t xml:space="preserve">This shift </w:t>
      </w:r>
      <w:r w:rsidR="00145442">
        <w:rPr>
          <w:rFonts w:ascii="Times New Roman" w:hAnsi="Times New Roman"/>
          <w:sz w:val="24"/>
        </w:rPr>
        <w:t>depicts an important dare</w:t>
      </w:r>
      <w:r w:rsidR="00E94A86">
        <w:rPr>
          <w:rFonts w:ascii="Times New Roman" w:hAnsi="Times New Roman"/>
          <w:sz w:val="24"/>
        </w:rPr>
        <w:t>, for companies,</w:t>
      </w:r>
      <w:r w:rsidR="00145442">
        <w:rPr>
          <w:rFonts w:ascii="Times New Roman" w:hAnsi="Times New Roman"/>
          <w:sz w:val="24"/>
        </w:rPr>
        <w:t xml:space="preserve"> </w:t>
      </w:r>
      <w:r w:rsidR="00E94A86">
        <w:rPr>
          <w:rFonts w:ascii="Times New Roman" w:hAnsi="Times New Roman"/>
          <w:sz w:val="24"/>
        </w:rPr>
        <w:t>because,</w:t>
      </w:r>
      <w:r w:rsidR="00145442">
        <w:rPr>
          <w:rFonts w:ascii="Times New Roman" w:hAnsi="Times New Roman"/>
          <w:sz w:val="24"/>
        </w:rPr>
        <w:t xml:space="preserve"> according to</w:t>
      </w:r>
      <w:r w:rsidR="00007AC1">
        <w:rPr>
          <w:rFonts w:ascii="Times New Roman" w:hAnsi="Times New Roman"/>
          <w:sz w:val="24"/>
        </w:rPr>
        <w:t xml:space="preserve"> </w:t>
      </w:r>
      <w:r w:rsidR="00007AC1" w:rsidRPr="00145442">
        <w:rPr>
          <w:rFonts w:ascii="Times New Roman" w:hAnsi="Times New Roman"/>
          <w:noProof/>
          <w:sz w:val="24"/>
        </w:rPr>
        <w:t>Li &amp; Atkinson</w:t>
      </w:r>
      <w:r w:rsidR="00007AC1">
        <w:rPr>
          <w:rFonts w:ascii="Times New Roman" w:hAnsi="Times New Roman"/>
          <w:noProof/>
          <w:sz w:val="24"/>
        </w:rPr>
        <w:t xml:space="preserve"> (2020)</w:t>
      </w:r>
      <w:r w:rsidR="00E94A86">
        <w:rPr>
          <w:rFonts w:ascii="Times New Roman" w:hAnsi="Times New Roman"/>
          <w:noProof/>
          <w:sz w:val="24"/>
        </w:rPr>
        <w:t>,</w:t>
      </w:r>
      <w:r w:rsidR="00145442">
        <w:rPr>
          <w:rFonts w:ascii="Times New Roman" w:hAnsi="Times New Roman"/>
          <w:sz w:val="24"/>
        </w:rPr>
        <w:t xml:space="preserve"> psychological ownership fulfills basic psychological needs and therefore increments customer well-being. </w:t>
      </w:r>
      <w:r w:rsidR="0092522D">
        <w:rPr>
          <w:rFonts w:ascii="Times New Roman" w:hAnsi="Times New Roman"/>
          <w:sz w:val="24"/>
        </w:rPr>
        <w:t xml:space="preserve">Additionally, </w:t>
      </w:r>
      <w:r w:rsidR="00E94A86">
        <w:rPr>
          <w:rFonts w:ascii="Times New Roman" w:hAnsi="Times New Roman"/>
          <w:sz w:val="24"/>
        </w:rPr>
        <w:t>in accordance with</w:t>
      </w:r>
      <w:r w:rsidR="0092522D">
        <w:rPr>
          <w:rFonts w:ascii="Times New Roman" w:hAnsi="Times New Roman"/>
          <w:sz w:val="24"/>
        </w:rPr>
        <w:t xml:space="preserve"> </w:t>
      </w:r>
      <w:r w:rsidR="0092522D" w:rsidRPr="00997535">
        <w:rPr>
          <w:rFonts w:ascii="Times New Roman" w:hAnsi="Times New Roman"/>
          <w:sz w:val="24"/>
        </w:rPr>
        <w:t xml:space="preserve">Morewedge et al., </w:t>
      </w:r>
      <w:r w:rsidR="0092522D">
        <w:rPr>
          <w:rFonts w:ascii="Times New Roman" w:hAnsi="Times New Roman"/>
          <w:sz w:val="24"/>
        </w:rPr>
        <w:t>(</w:t>
      </w:r>
      <w:r w:rsidR="0092522D" w:rsidRPr="00997535">
        <w:rPr>
          <w:rFonts w:ascii="Times New Roman" w:hAnsi="Times New Roman"/>
          <w:sz w:val="24"/>
        </w:rPr>
        <w:t>202</w:t>
      </w:r>
      <w:r w:rsidR="0092522D">
        <w:rPr>
          <w:rFonts w:ascii="Times New Roman" w:hAnsi="Times New Roman"/>
          <w:sz w:val="24"/>
        </w:rPr>
        <w:t>1), psychological ownership is linked positively with important variables, for the organization, such as</w:t>
      </w:r>
      <w:r w:rsidR="00A065C3">
        <w:rPr>
          <w:rFonts w:ascii="Times New Roman" w:hAnsi="Times New Roman"/>
          <w:sz w:val="24"/>
        </w:rPr>
        <w:t xml:space="preserve"> customer satisfaction and loyalty, market demand and willingness to pay. </w:t>
      </w:r>
    </w:p>
    <w:p w14:paraId="27C3CA83" w14:textId="06AA0084" w:rsidR="004B2B55" w:rsidRDefault="00A065C3" w:rsidP="005726AC">
      <w:pPr>
        <w:spacing w:line="360" w:lineRule="auto"/>
        <w:ind w:right="117" w:firstLine="720"/>
        <w:jc w:val="both"/>
        <w:rPr>
          <w:rFonts w:ascii="Times New Roman" w:hAnsi="Times New Roman"/>
          <w:sz w:val="24"/>
        </w:rPr>
      </w:pPr>
      <w:r>
        <w:rPr>
          <w:rFonts w:ascii="Times New Roman" w:hAnsi="Times New Roman"/>
          <w:sz w:val="24"/>
        </w:rPr>
        <w:t xml:space="preserve">Due to the importance of psychological ownership and the </w:t>
      </w:r>
      <w:r w:rsidR="00902E60">
        <w:rPr>
          <w:rFonts w:ascii="Times New Roman" w:hAnsi="Times New Roman"/>
          <w:sz w:val="24"/>
        </w:rPr>
        <w:t>unavoidable course towards the circular economy and its new business models, companies will have to create alternatives in order to maintain the emotional connection of the customers towards the products</w:t>
      </w:r>
      <w:r w:rsidR="004739D5">
        <w:rPr>
          <w:rFonts w:ascii="Times New Roman" w:hAnsi="Times New Roman"/>
          <w:sz w:val="24"/>
        </w:rPr>
        <w:t>, in a context where they are not going to be able to get legal ownership of those. In few words, organizations have to visualize trade-offs in order to protect psychological ownership developed by customers through their interaction with products</w:t>
      </w:r>
      <w:r w:rsidR="003B238D">
        <w:rPr>
          <w:rFonts w:ascii="Times New Roman" w:hAnsi="Times New Roman"/>
          <w:sz w:val="24"/>
        </w:rPr>
        <w:t xml:space="preserve">, in a new context where they </w:t>
      </w:r>
      <w:r w:rsidR="001717E6">
        <w:rPr>
          <w:rFonts w:ascii="Times New Roman" w:hAnsi="Times New Roman"/>
          <w:sz w:val="24"/>
        </w:rPr>
        <w:t>cannot</w:t>
      </w:r>
      <w:r w:rsidR="003B238D">
        <w:rPr>
          <w:rFonts w:ascii="Times New Roman" w:hAnsi="Times New Roman"/>
          <w:sz w:val="24"/>
        </w:rPr>
        <w:t xml:space="preserve"> own them. </w:t>
      </w:r>
    </w:p>
    <w:p w14:paraId="42E26D58" w14:textId="77777777" w:rsidR="001717E6" w:rsidRDefault="001717E6" w:rsidP="005726AC">
      <w:pPr>
        <w:spacing w:line="360" w:lineRule="auto"/>
        <w:ind w:right="117" w:firstLine="720"/>
        <w:jc w:val="both"/>
        <w:rPr>
          <w:rFonts w:ascii="Times New Roman" w:hAnsi="Times New Roman"/>
          <w:sz w:val="24"/>
        </w:rPr>
      </w:pPr>
    </w:p>
    <w:p w14:paraId="49A60C22" w14:textId="022C44E7" w:rsidR="00BD251E" w:rsidRDefault="00BD251E" w:rsidP="005726AC">
      <w:pPr>
        <w:spacing w:line="360" w:lineRule="auto"/>
        <w:ind w:right="117" w:firstLine="720"/>
        <w:jc w:val="both"/>
        <w:rPr>
          <w:rFonts w:ascii="Times New Roman" w:hAnsi="Times New Roman"/>
          <w:sz w:val="24"/>
        </w:rPr>
      </w:pPr>
    </w:p>
    <w:p w14:paraId="4EA5CCFE" w14:textId="71DBF682" w:rsidR="000856A1" w:rsidRDefault="000856A1" w:rsidP="005726AC">
      <w:pPr>
        <w:spacing w:line="360" w:lineRule="auto"/>
        <w:ind w:right="117" w:firstLine="720"/>
        <w:jc w:val="both"/>
        <w:rPr>
          <w:rFonts w:ascii="Times New Roman" w:hAnsi="Times New Roman"/>
          <w:sz w:val="24"/>
        </w:rPr>
      </w:pPr>
      <w:r>
        <w:rPr>
          <w:rFonts w:ascii="Times New Roman" w:hAnsi="Times New Roman"/>
          <w:sz w:val="24"/>
        </w:rPr>
        <w:lastRenderedPageBreak/>
        <w:t xml:space="preserve">On this research the focus will be placed on the bicycle manufacturer industry and a bike will be used as a main and unique product through the experiment given that: first, </w:t>
      </w:r>
      <w:r w:rsidR="00955ED5">
        <w:rPr>
          <w:rFonts w:ascii="Times New Roman" w:hAnsi="Times New Roman"/>
          <w:sz w:val="24"/>
        </w:rPr>
        <w:t xml:space="preserve">transportation is an industry highly influenced by the circular economy; </w:t>
      </w:r>
      <w:r>
        <w:rPr>
          <w:rFonts w:ascii="Times New Roman" w:hAnsi="Times New Roman"/>
          <w:sz w:val="24"/>
        </w:rPr>
        <w:t xml:space="preserve">and second this product represents one of the main means of transport. In accordance with </w:t>
      </w:r>
      <w:r w:rsidRPr="00E104FA">
        <w:rPr>
          <w:rFonts w:ascii="Times New Roman" w:hAnsi="Times New Roman"/>
          <w:sz w:val="24"/>
        </w:rPr>
        <w:t>Bhattacharya</w:t>
      </w:r>
      <w:r>
        <w:rPr>
          <w:rFonts w:ascii="Times New Roman" w:hAnsi="Times New Roman"/>
          <w:sz w:val="24"/>
        </w:rPr>
        <w:t xml:space="preserve"> (2010) this mean of transport </w:t>
      </w:r>
      <w:r w:rsidR="00294DED">
        <w:rPr>
          <w:rFonts w:ascii="Times New Roman" w:hAnsi="Times New Roman"/>
          <w:sz w:val="24"/>
        </w:rPr>
        <w:t>constitutes</w:t>
      </w:r>
      <w:r>
        <w:rPr>
          <w:rFonts w:ascii="Times New Roman" w:hAnsi="Times New Roman"/>
          <w:sz w:val="24"/>
        </w:rPr>
        <w:t xml:space="preserve"> about 30% of all urban trips in the Netherland</w:t>
      </w:r>
      <w:r w:rsidR="00D02FDE">
        <w:rPr>
          <w:rFonts w:ascii="Times New Roman" w:hAnsi="Times New Roman"/>
          <w:sz w:val="24"/>
        </w:rPr>
        <w:t xml:space="preserve">s. </w:t>
      </w:r>
    </w:p>
    <w:p w14:paraId="6F26D593" w14:textId="77777777" w:rsidR="00007AC1" w:rsidRDefault="00007AC1" w:rsidP="006F3027">
      <w:pPr>
        <w:spacing w:line="360" w:lineRule="auto"/>
        <w:ind w:right="117"/>
        <w:jc w:val="both"/>
        <w:rPr>
          <w:rFonts w:ascii="Times New Roman" w:hAnsi="Times New Roman"/>
          <w:sz w:val="24"/>
        </w:rPr>
      </w:pP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r w:rsidR="006D386D">
        <w:t>Probleemstelling</w:t>
      </w:r>
      <w:r w:rsidR="006D386D">
        <w:rPr>
          <w:spacing w:val="-2"/>
        </w:rPr>
        <w:t xml:space="preserve"> </w:t>
      </w:r>
      <w:r w:rsidR="006D386D">
        <w:t>en</w:t>
      </w:r>
      <w:r w:rsidR="006D386D">
        <w:rPr>
          <w:spacing w:val="-2"/>
        </w:rPr>
        <w:t xml:space="preserve"> </w:t>
      </w:r>
      <w:r w:rsidR="006D386D">
        <w:t>onderzoeksvragen</w:t>
      </w:r>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B9F2220"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 to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2007C7C7" w14:textId="230BF3B9" w:rsidR="00363369" w:rsidRDefault="00EE33B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What </w:t>
      </w:r>
      <w:r w:rsidR="000447CC">
        <w:rPr>
          <w:rFonts w:ascii="Times New Roman" w:hAnsi="Times New Roman"/>
          <w:sz w:val="24"/>
        </w:rPr>
        <w:t>is the impact of the type of features used to customized products</w:t>
      </w:r>
      <w:r w:rsidR="002218F5">
        <w:rPr>
          <w:rFonts w:ascii="Times New Roman" w:hAnsi="Times New Roman"/>
          <w:sz w:val="24"/>
        </w:rPr>
        <w:t xml:space="preserve"> on</w:t>
      </w:r>
      <w:r w:rsidR="00C30B65">
        <w:rPr>
          <w:rFonts w:ascii="Times New Roman" w:hAnsi="Times New Roman"/>
          <w:sz w:val="24"/>
        </w:rPr>
        <w:t xml:space="preserve"> the </w:t>
      </w:r>
      <w:r w:rsidR="00B01DC0">
        <w:rPr>
          <w:rFonts w:ascii="Times New Roman" w:hAnsi="Times New Roman"/>
          <w:sz w:val="24"/>
        </w:rPr>
        <w:t>willingness to pay</w:t>
      </w:r>
      <w:r w:rsidR="002218F5">
        <w:rPr>
          <w:rFonts w:ascii="Times New Roman" w:hAnsi="Times New Roman"/>
          <w:sz w:val="24"/>
        </w:rPr>
        <w:t>?</w:t>
      </w:r>
    </w:p>
    <w:p w14:paraId="28A4AF68" w14:textId="6D7BB7E5"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FA4E54">
        <w:rPr>
          <w:rFonts w:ascii="Times New Roman" w:hAnsi="Times New Roman"/>
          <w:sz w:val="24"/>
        </w:rPr>
        <w:t xml:space="preserve">does </w:t>
      </w:r>
      <w:r w:rsidR="00695298">
        <w:rPr>
          <w:rFonts w:ascii="Times New Roman" w:hAnsi="Times New Roman"/>
          <w:sz w:val="24"/>
        </w:rPr>
        <w:t xml:space="preserve">the </w:t>
      </w:r>
      <w:r w:rsidR="00B01DC0">
        <w:rPr>
          <w:rFonts w:ascii="Times New Roman" w:hAnsi="Times New Roman"/>
          <w:sz w:val="24"/>
        </w:rPr>
        <w:t>psychological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02ECEC83"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the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1DC5BB1C" w14:textId="77777777" w:rsidR="00EE6B79" w:rsidRDefault="00EE6B79">
      <w:pPr>
        <w:spacing w:line="360" w:lineRule="auto"/>
        <w:ind w:left="200" w:right="112"/>
        <w:jc w:val="both"/>
        <w:rPr>
          <w:rFonts w:ascii="Times New Roman"/>
          <w:sz w:val="24"/>
        </w:rPr>
      </w:pPr>
    </w:p>
    <w:p w14:paraId="787ACDB9" w14:textId="4AA2F93B"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r w:rsidR="006D386D">
        <w:t>Theoretisch</w:t>
      </w:r>
      <w:r w:rsidR="006D386D">
        <w:rPr>
          <w:spacing w:val="-3"/>
        </w:rPr>
        <w:t xml:space="preserve"> </w:t>
      </w:r>
      <w:r w:rsidR="006D386D">
        <w:t>kader</w:t>
      </w:r>
    </w:p>
    <w:p w14:paraId="694035C8" w14:textId="5F5C2254" w:rsidR="00C30B65" w:rsidRDefault="00C30B65">
      <w:pPr>
        <w:pStyle w:val="Heading3"/>
        <w:spacing w:before="1"/>
        <w:jc w:val="both"/>
      </w:pPr>
    </w:p>
    <w:p w14:paraId="153084F6" w14:textId="77777777" w:rsidR="00C2238D" w:rsidRDefault="00C2238D" w:rsidP="00C2238D">
      <w:pPr>
        <w:spacing w:before="1" w:line="360" w:lineRule="auto"/>
        <w:ind w:left="200" w:right="117"/>
        <w:jc w:val="both"/>
        <w:rPr>
          <w:rFonts w:ascii="Times New Roman" w:hAnsi="Times New Roman"/>
          <w:sz w:val="24"/>
        </w:rPr>
      </w:pPr>
      <w:r>
        <w:rPr>
          <w:rFonts w:ascii="Times New Roman" w:hAnsi="Times New Roman"/>
          <w:sz w:val="24"/>
        </w:rPr>
        <w:t xml:space="preserve">3.1 Level of customization of products. </w:t>
      </w:r>
    </w:p>
    <w:p w14:paraId="0169843E" w14:textId="7777777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enables the communication with the customers (</w:t>
      </w:r>
      <w:r w:rsidRPr="001F5926">
        <w:rPr>
          <w:rFonts w:ascii="Times New Roman" w:hAnsi="Times New Roman"/>
          <w:sz w:val="24"/>
        </w:rPr>
        <w:t>Franke</w:t>
      </w:r>
      <w:r>
        <w:rPr>
          <w:rFonts w:ascii="Times New Roman" w:hAnsi="Times New Roman"/>
          <w:sz w:val="24"/>
        </w:rPr>
        <w:t xml:space="preserve"> et al., 2009).  </w:t>
      </w:r>
    </w:p>
    <w:p w14:paraId="4802F730" w14:textId="40C62ED7"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lastRenderedPageBreak/>
        <w:t>A shift from legal ownership to legal access, promoted by the circular economy, offers challenges, for companies, in order to protect and maintain the psychological ownership. One of them is through the offering of platforms which could incorporate product customization (</w:t>
      </w:r>
      <w:r w:rsidRPr="00960C68">
        <w:rPr>
          <w:rFonts w:ascii="Times New Roman" w:hAnsi="Times New Roman"/>
          <w:sz w:val="24"/>
        </w:rPr>
        <w:t>Morewedge</w:t>
      </w:r>
      <w:r>
        <w:rPr>
          <w:rFonts w:ascii="Times New Roman" w:hAnsi="Times New Roman"/>
          <w:sz w:val="24"/>
        </w:rPr>
        <w:t xml:space="preserve"> et al., 2021). Customization may create a greater level of psychological ownership. For this reason, the level of customization on a product was included in the model and thus, it is expected to have a direct and significant relationship with psychological ownership</w:t>
      </w:r>
      <w:r w:rsidR="00B01DC0">
        <w:rPr>
          <w:rFonts w:ascii="Times New Roman" w:hAnsi="Times New Roman"/>
          <w:sz w:val="24"/>
        </w:rPr>
        <w:t xml:space="preserve"> and willingness to pay as well.</w:t>
      </w:r>
    </w:p>
    <w:p w14:paraId="34D1CAB8" w14:textId="0D83EC6F"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Also, it is important to mention that this variable has been included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r w:rsidRPr="00997535">
        <w:rPr>
          <w:rFonts w:ascii="Times New Roman" w:hAnsi="Times New Roman"/>
          <w:sz w:val="24"/>
        </w:rPr>
        <w:t>Morewedge et al., 202</w:t>
      </w:r>
      <w:r>
        <w:rPr>
          <w:rFonts w:ascii="Times New Roman" w:hAnsi="Times New Roman"/>
          <w:sz w:val="24"/>
        </w:rPr>
        <w:t xml:space="preserve">1), therefore it is expected that customization could influence psychological ownership as well. </w:t>
      </w:r>
    </w:p>
    <w:p w14:paraId="19122416" w14:textId="1A433B8E" w:rsidR="00C2238D" w:rsidRP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Highly customizable products will develop a stronger psychological ownership, on customers, than poor customizable products.</w:t>
      </w:r>
    </w:p>
    <w:p w14:paraId="5E8FA352" w14:textId="77777777" w:rsidR="00C2238D" w:rsidRDefault="00C2238D" w:rsidP="00C2238D">
      <w:pPr>
        <w:pStyle w:val="Heading3"/>
        <w:spacing w:before="1" w:line="360" w:lineRule="auto"/>
        <w:jc w:val="both"/>
        <w:rPr>
          <w:b w:val="0"/>
          <w:bCs w:val="0"/>
        </w:rPr>
      </w:pPr>
      <w:r>
        <w:rPr>
          <w:b w:val="0"/>
          <w:bCs w:val="0"/>
        </w:rPr>
        <w:t>3.2 Type of features used to customize products</w:t>
      </w:r>
    </w:p>
    <w:p w14:paraId="477967D1" w14:textId="77777777" w:rsidR="00C2238D"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In accordance with the purposes of this research, product features are going to be classified in two conditions: hedonic and utilitarian. </w:t>
      </w:r>
    </w:p>
    <w:p w14:paraId="17908D67" w14:textId="642A81BE" w:rsidR="00C2238D" w:rsidRDefault="00C2238D" w:rsidP="00C2238D">
      <w:pPr>
        <w:pStyle w:val="Heading3"/>
        <w:spacing w:before="1" w:line="360" w:lineRule="auto"/>
        <w:jc w:val="both"/>
        <w:rPr>
          <w:b w:val="0"/>
          <w:bCs w:val="0"/>
        </w:rPr>
      </w:pPr>
      <w:r>
        <w:rPr>
          <w:b w:val="0"/>
          <w:bCs w:val="0"/>
        </w:rPr>
        <w:tab/>
        <w:t xml:space="preserve">This classification was done based in two researches. The first one was carried out by </w:t>
      </w:r>
      <w:r w:rsidRPr="00F74E6F">
        <w:rPr>
          <w:b w:val="0"/>
          <w:bCs w:val="0"/>
        </w:rPr>
        <w:t>Dhar &amp; Wertenbroch</w:t>
      </w:r>
      <w:r>
        <w:rPr>
          <w:b w:val="0"/>
          <w:bCs w:val="0"/>
        </w:rPr>
        <w:t xml:space="preserve"> (</w:t>
      </w:r>
      <w:r w:rsidRPr="00F74E6F">
        <w:rPr>
          <w:b w:val="0"/>
          <w:bCs w:val="0"/>
        </w:rPr>
        <w:t>2000)</w:t>
      </w:r>
      <w:r>
        <w:rPr>
          <w:b w:val="0"/>
          <w:bCs w:val="0"/>
        </w:rPr>
        <w:t xml:space="preserve"> where was demonstrated a fundamental asymmetry in how consumers trade off both dimension, hedonic and utilitarian, in acquisition and forfeiture choices; the second one, done by Norton et al. (2012) showed that in fact, respondents could easily differentiate between both dimensions through the well know Ikea effect. </w:t>
      </w:r>
    </w:p>
    <w:p w14:paraId="4DC03003" w14:textId="1F05D10E" w:rsidR="00CF3C04" w:rsidRPr="00CF3C04" w:rsidRDefault="00CF3C04" w:rsidP="00CF3C04">
      <w:pPr>
        <w:pStyle w:val="Heading3"/>
        <w:spacing w:before="1" w:line="360" w:lineRule="auto"/>
        <w:ind w:left="1440" w:firstLine="5"/>
        <w:jc w:val="both"/>
        <w:rPr>
          <w:b w:val="0"/>
          <w:bCs w:val="0"/>
        </w:rPr>
      </w:pPr>
      <w:r>
        <w:t xml:space="preserve">H2: </w:t>
      </w:r>
      <w:r>
        <w:rPr>
          <w:b w:val="0"/>
          <w:bCs w:val="0"/>
        </w:rPr>
        <w:t>Products customized through hedonic features will develop a stronger psychological ownership than products customized through utilitarian features.</w:t>
      </w:r>
    </w:p>
    <w:p w14:paraId="0279C969" w14:textId="77777777" w:rsidR="00C2238D" w:rsidRDefault="00C2238D" w:rsidP="00084B91">
      <w:pPr>
        <w:pStyle w:val="Heading3"/>
        <w:spacing w:before="1" w:line="360" w:lineRule="auto"/>
        <w:jc w:val="both"/>
        <w:rPr>
          <w:b w:val="0"/>
          <w:bCs w:val="0"/>
        </w:rPr>
      </w:pPr>
    </w:p>
    <w:p w14:paraId="38986976" w14:textId="1B922911" w:rsidR="008E729B" w:rsidRDefault="0016241C" w:rsidP="008E729B">
      <w:pPr>
        <w:spacing w:before="1" w:line="360" w:lineRule="auto"/>
        <w:ind w:left="200" w:right="117"/>
        <w:jc w:val="both"/>
        <w:rPr>
          <w:rFonts w:ascii="Times New Roman" w:hAnsi="Times New Roman"/>
          <w:sz w:val="24"/>
        </w:rPr>
      </w:pPr>
      <w:r>
        <w:rPr>
          <w:rFonts w:ascii="Times New Roman" w:hAnsi="Times New Roman"/>
          <w:sz w:val="24"/>
        </w:rPr>
        <w:lastRenderedPageBreak/>
        <w:t>3</w:t>
      </w:r>
      <w:r w:rsidR="008E729B">
        <w:rPr>
          <w:rFonts w:ascii="Times New Roman" w:hAnsi="Times New Roman"/>
          <w:sz w:val="24"/>
        </w:rPr>
        <w:t>.</w:t>
      </w:r>
      <w:r w:rsidR="00900C07">
        <w:rPr>
          <w:rFonts w:ascii="Times New Roman" w:hAnsi="Times New Roman"/>
          <w:sz w:val="24"/>
        </w:rPr>
        <w:t>3</w:t>
      </w:r>
      <w:r w:rsidR="008E729B">
        <w:rPr>
          <w:rFonts w:ascii="Times New Roman" w:hAnsi="Times New Roman"/>
          <w:sz w:val="24"/>
        </w:rPr>
        <w:t xml:space="preserve"> </w:t>
      </w:r>
      <w:r w:rsidR="003C3A66">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60A083D6"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sense or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30DB6528" w14:textId="6D529864" w:rsidR="005D486B" w:rsidRDefault="003C3A66"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Psychological ownership is a relevant variable that </w:t>
      </w:r>
      <w:r w:rsidR="001F055F">
        <w:rPr>
          <w:rFonts w:ascii="Times New Roman" w:hAnsi="Times New Roman"/>
          <w:sz w:val="24"/>
        </w:rPr>
        <w:t>must be borne in mind by companies given that, in accordance with Morewedge</w:t>
      </w:r>
      <w:r w:rsidR="001F055F" w:rsidRPr="001F055F">
        <w:rPr>
          <w:rFonts w:ascii="Times New Roman" w:hAnsi="Times New Roman"/>
          <w:sz w:val="24"/>
        </w:rPr>
        <w:t xml:space="preserve"> et al.,</w:t>
      </w:r>
      <w:r w:rsidR="00997535">
        <w:rPr>
          <w:rFonts w:ascii="Times New Roman" w:hAnsi="Times New Roman"/>
          <w:sz w:val="24"/>
        </w:rPr>
        <w:t xml:space="preserve"> (</w:t>
      </w:r>
      <w:r w:rsidR="001F055F" w:rsidRPr="001F055F">
        <w:rPr>
          <w:rFonts w:ascii="Times New Roman" w:hAnsi="Times New Roman"/>
          <w:sz w:val="24"/>
        </w:rPr>
        <w:t>2021</w:t>
      </w:r>
      <w:r w:rsidR="00997535">
        <w:rPr>
          <w:rFonts w:ascii="Times New Roman" w:hAnsi="Times New Roman"/>
          <w:sz w:val="24"/>
        </w:rPr>
        <w:t>)</w:t>
      </w:r>
      <w:r w:rsidR="001F055F">
        <w:rPr>
          <w:rFonts w:ascii="Times New Roman" w:hAnsi="Times New Roman"/>
          <w:sz w:val="24"/>
        </w:rPr>
        <w:t xml:space="preserve"> psychological ownership is associated, in a positive way, with customer demand, willingness to pay, customer satisfaction, word of mouth</w:t>
      </w:r>
      <w:r w:rsidR="00D42B2B">
        <w:rPr>
          <w:rFonts w:ascii="Times New Roman" w:hAnsi="Times New Roman"/>
          <w:sz w:val="24"/>
        </w:rPr>
        <w:t>,</w:t>
      </w:r>
      <w:r w:rsidR="001F055F">
        <w:rPr>
          <w:rFonts w:ascii="Times New Roman" w:hAnsi="Times New Roman"/>
          <w:sz w:val="24"/>
        </w:rPr>
        <w:t xml:space="preserve"> among other important variables that have considerable impact </w:t>
      </w:r>
      <w:r w:rsidR="00DF2F9F">
        <w:rPr>
          <w:rFonts w:ascii="Times New Roman" w:hAnsi="Times New Roman"/>
          <w:sz w:val="24"/>
        </w:rPr>
        <w:t xml:space="preserve">on </w:t>
      </w:r>
      <w:r w:rsidR="001F055F">
        <w:rPr>
          <w:rFonts w:ascii="Times New Roman" w:hAnsi="Times New Roman"/>
          <w:sz w:val="24"/>
        </w:rPr>
        <w:t xml:space="preserve">the performance of the companies in the short, mid and long term. </w:t>
      </w:r>
    </w:p>
    <w:p w14:paraId="037260FC" w14:textId="513E4073" w:rsidR="00085C39" w:rsidRDefault="003404E8" w:rsidP="00E2442E">
      <w:pPr>
        <w:spacing w:before="1" w:line="360" w:lineRule="auto"/>
        <w:ind w:left="200" w:right="117" w:firstLine="520"/>
        <w:jc w:val="both"/>
        <w:rPr>
          <w:rFonts w:ascii="Times New Roman" w:hAnsi="Times New Roman"/>
          <w:noProof/>
          <w:sz w:val="24"/>
        </w:rPr>
      </w:pPr>
      <w:r>
        <w:rPr>
          <w:rFonts w:ascii="Times New Roman" w:hAnsi="Times New Roman"/>
          <w:noProof/>
          <w:sz w:val="24"/>
        </w:rPr>
        <w:t xml:space="preserve">Embracing previous </w:t>
      </w:r>
      <w:r w:rsidR="00227910">
        <w:rPr>
          <w:rFonts w:ascii="Times New Roman" w:hAnsi="Times New Roman"/>
          <w:noProof/>
          <w:sz w:val="24"/>
        </w:rPr>
        <w:t>researches</w:t>
      </w:r>
      <w:r>
        <w:rPr>
          <w:rFonts w:ascii="Times New Roman" w:hAnsi="Times New Roman"/>
          <w:noProof/>
          <w:sz w:val="24"/>
        </w:rPr>
        <w:t xml:space="preserve">, it is going to be followed </w:t>
      </w:r>
      <w:r w:rsidR="00227910">
        <w:rPr>
          <w:rFonts w:ascii="Times New Roman" w:hAnsi="Times New Roman"/>
          <w:noProof/>
          <w:sz w:val="24"/>
        </w:rPr>
        <w:t xml:space="preserve">the contribution made be </w:t>
      </w:r>
      <w:r w:rsidRPr="003404E8">
        <w:rPr>
          <w:rFonts w:ascii="Times New Roman" w:hAnsi="Times New Roman"/>
          <w:noProof/>
          <w:sz w:val="24"/>
        </w:rPr>
        <w:t>Li &amp; Atkinson (2020)</w:t>
      </w:r>
      <w:r w:rsidR="00227910">
        <w:rPr>
          <w:rFonts w:ascii="Times New Roman" w:hAnsi="Times New Roman"/>
          <w:noProof/>
          <w:sz w:val="24"/>
        </w:rPr>
        <w:t xml:space="preserve"> in order to measure psychological ownership. On their work it was used a five-item scale previously developed by </w:t>
      </w:r>
      <w:r w:rsidR="00227910" w:rsidRPr="00227910">
        <w:rPr>
          <w:rFonts w:ascii="Times New Roman" w:hAnsi="Times New Roman"/>
          <w:noProof/>
          <w:sz w:val="24"/>
        </w:rPr>
        <w:t xml:space="preserve">Pierce &amp; Van Dyne </w:t>
      </w:r>
      <w:r w:rsidR="00227910">
        <w:rPr>
          <w:rFonts w:ascii="Times New Roman" w:hAnsi="Times New Roman"/>
          <w:noProof/>
          <w:sz w:val="24"/>
        </w:rPr>
        <w:t>(</w:t>
      </w:r>
      <w:r w:rsidR="00227910" w:rsidRPr="00227910">
        <w:rPr>
          <w:rFonts w:ascii="Times New Roman" w:hAnsi="Times New Roman"/>
          <w:noProof/>
          <w:sz w:val="24"/>
        </w:rPr>
        <w:t>2004)</w:t>
      </w:r>
      <w:r w:rsidR="00EF0141">
        <w:rPr>
          <w:rFonts w:ascii="Times New Roman" w:hAnsi="Times New Roman"/>
          <w:noProof/>
          <w:sz w:val="24"/>
        </w:rPr>
        <w:t>. Suiting this model to the purposes of this research, the five-item scale would include: I sense this bike its mine; I feel a very high degree of pres</w:t>
      </w:r>
      <w:r w:rsidR="001439D4">
        <w:rPr>
          <w:rFonts w:ascii="Times New Roman" w:hAnsi="Times New Roman"/>
          <w:noProof/>
          <w:sz w:val="24"/>
        </w:rPr>
        <w:t>onal</w:t>
      </w:r>
      <w:r w:rsidR="00EF0141">
        <w:rPr>
          <w:rFonts w:ascii="Times New Roman" w:hAnsi="Times New Roman"/>
          <w:noProof/>
          <w:sz w:val="24"/>
        </w:rPr>
        <w:t xml:space="preserve"> o</w:t>
      </w:r>
      <w:r w:rsidR="001439D4">
        <w:rPr>
          <w:rFonts w:ascii="Times New Roman" w:hAnsi="Times New Roman"/>
          <w:noProof/>
          <w:sz w:val="24"/>
        </w:rPr>
        <w:t>wnership</w:t>
      </w:r>
      <w:r w:rsidR="00EF0141">
        <w:rPr>
          <w:rFonts w:ascii="Times New Roman" w:hAnsi="Times New Roman"/>
          <w:noProof/>
          <w:sz w:val="24"/>
        </w:rPr>
        <w:t xml:space="preserve"> towards this bike; I feel personally connected to this bike; it is hard for me to think about this bike as mine; this b</w:t>
      </w:r>
      <w:r w:rsidR="0069574C">
        <w:rPr>
          <w:rFonts w:ascii="Times New Roman" w:hAnsi="Times New Roman"/>
          <w:noProof/>
          <w:sz w:val="24"/>
        </w:rPr>
        <w:t>ike</w:t>
      </w:r>
      <w:r w:rsidR="00EF0141">
        <w:rPr>
          <w:rFonts w:ascii="Times New Roman" w:hAnsi="Times New Roman"/>
          <w:noProof/>
          <w:sz w:val="24"/>
        </w:rPr>
        <w:t xml:space="preserve"> does not make me feel that it is mine.</w:t>
      </w:r>
    </w:p>
    <w:p w14:paraId="5C3B5C5C" w14:textId="6A757357" w:rsidR="00900C07" w:rsidRDefault="00900C07" w:rsidP="00900C07">
      <w:pPr>
        <w:spacing w:before="1" w:line="360" w:lineRule="auto"/>
        <w:ind w:right="117"/>
        <w:jc w:val="both"/>
        <w:rPr>
          <w:rFonts w:ascii="Times New Roman" w:hAnsi="Times New Roman"/>
          <w:noProof/>
          <w:sz w:val="24"/>
        </w:rPr>
      </w:pPr>
    </w:p>
    <w:p w14:paraId="36D6D35B" w14:textId="689E42CE"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3.4 Willingness to pay</w:t>
      </w:r>
    </w:p>
    <w:p w14:paraId="1A75D54B" w14:textId="35846CC6" w:rsidR="00322D6D" w:rsidRDefault="00322D6D" w:rsidP="00900C07">
      <w:pPr>
        <w:spacing w:before="1" w:line="360" w:lineRule="auto"/>
        <w:ind w:right="117"/>
        <w:jc w:val="both"/>
        <w:rPr>
          <w:rFonts w:ascii="Times New Roman" w:hAnsi="Times New Roman"/>
          <w:noProof/>
          <w:sz w:val="24"/>
        </w:rPr>
      </w:pPr>
      <w:r>
        <w:rPr>
          <w:rFonts w:ascii="Times New Roman" w:hAnsi="Times New Roman"/>
          <w:noProof/>
          <w:sz w:val="24"/>
        </w:rPr>
        <w:tab/>
      </w:r>
    </w:p>
    <w:p w14:paraId="13E933F1" w14:textId="77777777" w:rsidR="005B5DFE" w:rsidRDefault="005B5DFE" w:rsidP="00E2442E">
      <w:pPr>
        <w:spacing w:before="1" w:line="360" w:lineRule="auto"/>
        <w:ind w:left="200" w:right="117" w:firstLine="520"/>
        <w:jc w:val="both"/>
        <w:rPr>
          <w:rFonts w:ascii="Times New Roman" w:hAnsi="Times New Roman"/>
          <w:noProof/>
          <w:sz w:val="24"/>
        </w:rPr>
      </w:pPr>
    </w:p>
    <w:p w14:paraId="23E8F0C5" w14:textId="0DD01A22" w:rsidR="00085AAB" w:rsidRDefault="006D386D" w:rsidP="000156CF">
      <w:pPr>
        <w:pStyle w:val="ListParagraph"/>
        <w:numPr>
          <w:ilvl w:val="1"/>
          <w:numId w:val="15"/>
        </w:numPr>
        <w:tabs>
          <w:tab w:val="left" w:pos="621"/>
        </w:tabs>
        <w:jc w:val="both"/>
        <w:rPr>
          <w:rFonts w:ascii="Times New Roman"/>
          <w:b/>
          <w:i/>
          <w:sz w:val="24"/>
        </w:rPr>
      </w:pPr>
      <w:r w:rsidRPr="000156CF">
        <w:rPr>
          <w:rFonts w:ascii="Times New Roman"/>
          <w:b/>
          <w:i/>
          <w:sz w:val="24"/>
        </w:rPr>
        <w:t>Conceptual</w:t>
      </w:r>
      <w:r w:rsidRPr="000156CF">
        <w:rPr>
          <w:rFonts w:ascii="Times New Roman"/>
          <w:b/>
          <w:i/>
          <w:spacing w:val="-3"/>
          <w:sz w:val="24"/>
        </w:rPr>
        <w:t xml:space="preserve"> </w:t>
      </w:r>
      <w:r w:rsidRPr="000156CF">
        <w:rPr>
          <w:rFonts w:ascii="Times New Roman"/>
          <w:b/>
          <w:i/>
          <w:sz w:val="24"/>
        </w:rPr>
        <w:t>Model/schematical</w:t>
      </w:r>
      <w:r w:rsidRPr="000156CF">
        <w:rPr>
          <w:rFonts w:ascii="Times New Roman"/>
          <w:b/>
          <w:i/>
          <w:spacing w:val="-2"/>
          <w:sz w:val="24"/>
        </w:rPr>
        <w:t xml:space="preserve"> </w:t>
      </w:r>
      <w:r w:rsidRPr="000156CF">
        <w:rPr>
          <w:rFonts w:ascii="Times New Roman"/>
          <w:b/>
          <w:i/>
          <w:sz w:val="24"/>
        </w:rPr>
        <w:t>overview</w:t>
      </w:r>
    </w:p>
    <w:p w14:paraId="582CF9F2" w14:textId="2F4F6406" w:rsidR="00760030" w:rsidRDefault="00760030" w:rsidP="00760030">
      <w:pPr>
        <w:tabs>
          <w:tab w:val="left" w:pos="621"/>
        </w:tabs>
        <w:jc w:val="both"/>
        <w:rPr>
          <w:rFonts w:ascii="Times New Roman"/>
          <w:b/>
          <w:i/>
          <w:sz w:val="24"/>
        </w:rPr>
      </w:pPr>
    </w:p>
    <w:p w14:paraId="244165A7" w14:textId="5FE8A20B" w:rsidR="00760030" w:rsidRPr="00760030" w:rsidRDefault="00760030" w:rsidP="00760030">
      <w:pPr>
        <w:tabs>
          <w:tab w:val="left" w:pos="621"/>
        </w:tabs>
        <w:jc w:val="both"/>
        <w:rPr>
          <w:rFonts w:ascii="Times New Roman"/>
          <w:b/>
          <w:i/>
          <w:sz w:val="24"/>
        </w:rPr>
      </w:pPr>
    </w:p>
    <w:p w14:paraId="13BEC8E2" w14:textId="7A9D716F" w:rsidR="00085AAB" w:rsidRDefault="008E169F">
      <w:pPr>
        <w:spacing w:line="360" w:lineRule="auto"/>
        <w:jc w:val="both"/>
        <w:rPr>
          <w:rFonts w:ascii="Times New Roman"/>
          <w:sz w:val="24"/>
        </w:rPr>
      </w:pPr>
      <w:r>
        <w:rPr>
          <w:rFonts w:ascii="Times New Roman"/>
          <w:b/>
          <w:i/>
          <w:noProof/>
          <w:sz w:val="24"/>
        </w:rPr>
        <mc:AlternateContent>
          <mc:Choice Requires="wpg">
            <w:drawing>
              <wp:anchor distT="0" distB="0" distL="114300" distR="114300" simplePos="0" relativeHeight="251658240" behindDoc="0" locked="0" layoutInCell="1" allowOverlap="1" wp14:anchorId="74A255FC" wp14:editId="2C015F88">
                <wp:simplePos x="0" y="0"/>
                <wp:positionH relativeFrom="column">
                  <wp:posOffset>-303453</wp:posOffset>
                </wp:positionH>
                <wp:positionV relativeFrom="paragraph">
                  <wp:posOffset>107116</wp:posOffset>
                </wp:positionV>
                <wp:extent cx="6550025" cy="2943860"/>
                <wp:effectExtent l="57150" t="0" r="79375" b="104140"/>
                <wp:wrapNone/>
                <wp:docPr id="5" name="Group 5"/>
                <wp:cNvGraphicFramePr/>
                <a:graphic xmlns:a="http://schemas.openxmlformats.org/drawingml/2006/main">
                  <a:graphicData uri="http://schemas.microsoft.com/office/word/2010/wordprocessingGroup">
                    <wpg:wgp>
                      <wpg:cNvGrpSpPr/>
                      <wpg:grpSpPr>
                        <a:xfrm>
                          <a:off x="0" y="0"/>
                          <a:ext cx="6550025" cy="2943860"/>
                          <a:chOff x="0" y="0"/>
                          <a:chExt cx="6550320" cy="2944111"/>
                        </a:xfrm>
                      </wpg:grpSpPr>
                      <wpg:grpSp>
                        <wpg:cNvPr id="4" name="Group 4"/>
                        <wpg:cNvGrpSpPr/>
                        <wpg:grpSpPr>
                          <a:xfrm>
                            <a:off x="0" y="0"/>
                            <a:ext cx="6550320" cy="2944111"/>
                            <a:chOff x="0" y="-10779"/>
                            <a:chExt cx="6753225" cy="3331829"/>
                          </a:xfrm>
                        </wpg:grpSpPr>
                        <wps:wsp>
                          <wps:cNvPr id="6" name="Rectangle 2"/>
                          <wps:cNvSpPr/>
                          <wps:spPr>
                            <a:xfrm>
                              <a:off x="0" y="1330325"/>
                              <a:ext cx="1809750" cy="18478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46661" y="412471"/>
                              <a:ext cx="1601567" cy="98884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492750" y="124142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4D7E552" w14:textId="2B45D337" w:rsidR="00760030" w:rsidRPr="004125A4" w:rsidRDefault="00BF6EBA" w:rsidP="00BF6EBA">
                                <w:pPr>
                                  <w:jc w:val="center"/>
                                </w:pPr>
                                <w:r w:rsidRPr="004125A4">
                                  <w:t xml:space="preserve">Psychological ownership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85314" y="889000"/>
                              <a:ext cx="742950" cy="371475"/>
                            </a:xfrm>
                            <a:prstGeom prst="rect">
                              <a:avLst/>
                            </a:prstGeom>
                            <a:solidFill>
                              <a:schemeClr val="lt1"/>
                            </a:solidFill>
                            <a:ln w="6350">
                              <a:solidFill>
                                <a:prstClr val="black"/>
                              </a:solidFill>
                            </a:ln>
                          </wps:spPr>
                          <wps:txbx>
                            <w:txbxContent>
                              <w:p w14:paraId="08BD351F" w14:textId="0A1D94B5" w:rsidR="00760030" w:rsidRPr="00760030" w:rsidRDefault="00760030" w:rsidP="00760030">
                                <w:pPr>
                                  <w:jc w:val="center"/>
                                  <w:rPr>
                                    <w:lang w:val="es-CO"/>
                                  </w:rPr>
                                </w:pPr>
                                <w:r>
                                  <w:rPr>
                                    <w:lang w:val="es-CO"/>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5524500" y="2644775"/>
                              <a:ext cx="1228725" cy="6762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28230" y="-10779"/>
                              <a:ext cx="990049" cy="371475"/>
                            </a:xfrm>
                            <a:prstGeom prst="rect">
                              <a:avLst/>
                            </a:prstGeom>
                            <a:solidFill>
                              <a:schemeClr val="lt1"/>
                            </a:solidFill>
                            <a:ln w="6350">
                              <a:solidFill>
                                <a:prstClr val="black"/>
                              </a:solidFill>
                            </a:ln>
                          </wps:spPr>
                          <wps:txbx>
                            <w:txbxContent>
                              <w:p w14:paraId="76117F80" w14:textId="356E4BB7" w:rsidR="00760030" w:rsidRPr="00760030" w:rsidRDefault="000F1B96" w:rsidP="00760030">
                                <w:pPr>
                                  <w:jc w:val="center"/>
                                  <w:rPr>
                                    <w:lang w:val="es-CO"/>
                                  </w:rPr>
                                </w:pPr>
                                <w:r>
                                  <w:rPr>
                                    <w:lang w:val="es-CO"/>
                                  </w:rPr>
                                  <w:t>M</w:t>
                                </w:r>
                                <w:r w:rsidR="00662845">
                                  <w:rPr>
                                    <w:lang w:val="es-CO"/>
                                  </w:rPr>
                                  <w:t>oderator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53100" y="809625"/>
                              <a:ext cx="742950" cy="371475"/>
                            </a:xfrm>
                            <a:prstGeom prst="rect">
                              <a:avLst/>
                            </a:prstGeom>
                            <a:solidFill>
                              <a:schemeClr val="lt1"/>
                            </a:solidFill>
                            <a:ln w="6350">
                              <a:solidFill>
                                <a:prstClr val="black"/>
                              </a:solidFill>
                            </a:ln>
                          </wps:spPr>
                          <wps:txbx>
                            <w:txbxContent>
                              <w:p w14:paraId="33B12634" w14:textId="125904CC" w:rsidR="00760030" w:rsidRPr="00760030" w:rsidRDefault="00760030" w:rsidP="00760030">
                                <w:pPr>
                                  <w:jc w:val="center"/>
                                  <w:rPr>
                                    <w:lang w:val="es-CO"/>
                                  </w:rPr>
                                </w:pPr>
                                <w:r>
                                  <w:rPr>
                                    <w:lang w:val="es-CO"/>
                                  </w:rPr>
                                  <w:t>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870567" y="1933575"/>
                              <a:ext cx="3543299" cy="13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6172200" y="200660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Straight Arrow Connector 6"/>
                        <wps:cNvCnPr/>
                        <wps:spPr>
                          <a:xfrm>
                            <a:off x="3433780" y="1247775"/>
                            <a:ext cx="3060" cy="470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255FC" id="Group 5" o:spid="_x0000_s1026" style="position:absolute;left:0;text-align:left;margin-left:-23.9pt;margin-top:8.45pt;width:515.75pt;height:231.8pt;z-index:251658240" coordsize="65503,2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">
                <v:group id="Group 4" o:spid="_x0000_s1027" style="position:absolute;width:65503;height:29441" coordorigin=",-107" coordsize="67532,3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28" style="position:absolute;top:13303;width:18097;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0FAD7C0C" w14:textId="77777777" w:rsidR="00A57B1E" w:rsidRPr="00486534" w:rsidRDefault="00A57B1E" w:rsidP="00A57B1E">
                          <w:pPr>
                            <w:jc w:val="center"/>
                          </w:pPr>
                          <w:r w:rsidRPr="00486534">
                            <w:t>Level of customization</w:t>
                          </w:r>
                        </w:p>
                        <w:p w14:paraId="71828A17" w14:textId="03113B54" w:rsidR="005D29D1" w:rsidRDefault="00A57B1E" w:rsidP="00D51447">
                          <w:pPr>
                            <w:pStyle w:val="ListParagraph"/>
                            <w:numPr>
                              <w:ilvl w:val="0"/>
                              <w:numId w:val="16"/>
                            </w:numPr>
                          </w:pPr>
                          <w:r>
                            <w:t>HCP</w:t>
                          </w:r>
                        </w:p>
                        <w:p w14:paraId="6A31C320" w14:textId="75855457" w:rsidR="0035227C" w:rsidRDefault="00A57B1E" w:rsidP="00D51447">
                          <w:pPr>
                            <w:pStyle w:val="ListParagraph"/>
                            <w:numPr>
                              <w:ilvl w:val="0"/>
                              <w:numId w:val="16"/>
                            </w:numPr>
                          </w:pPr>
                          <w:r>
                            <w:t>PCP</w:t>
                          </w:r>
                        </w:p>
                        <w:p w14:paraId="7EEF8B84" w14:textId="65D1656B" w:rsidR="008A2766" w:rsidRDefault="009944C8" w:rsidP="008A2766">
                          <w:r>
                            <w:t>Type</w:t>
                          </w:r>
                          <w:r w:rsidR="008A2766">
                            <w:t xml:space="preserve"> of features </w:t>
                          </w:r>
                        </w:p>
                        <w:p w14:paraId="755373D9" w14:textId="71CDC8F6" w:rsidR="008A2766" w:rsidRDefault="008A2766" w:rsidP="008A2766">
                          <w:pPr>
                            <w:pStyle w:val="ListParagraph"/>
                            <w:numPr>
                              <w:ilvl w:val="0"/>
                              <w:numId w:val="20"/>
                            </w:numPr>
                          </w:pPr>
                          <w:r>
                            <w:t>Hedonic</w:t>
                          </w:r>
                        </w:p>
                        <w:p w14:paraId="7EA36FFD" w14:textId="5015BD85" w:rsidR="008A2766" w:rsidRPr="00760030" w:rsidRDefault="008A2766" w:rsidP="008A2766">
                          <w:pPr>
                            <w:pStyle w:val="ListParagraph"/>
                            <w:numPr>
                              <w:ilvl w:val="0"/>
                              <w:numId w:val="20"/>
                            </w:numPr>
                          </w:pPr>
                          <w:r>
                            <w:t>Utilitarian</w:t>
                          </w:r>
                        </w:p>
                      </w:txbxContent>
                    </v:textbox>
                  </v:rect>
                  <v:rect id="Rectangle 10" o:spid="_x0000_s1029" style="position:absolute;left:27466;top:4124;width:16016;height:9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69D69C56" w14:textId="7A2A5255" w:rsidR="00760030" w:rsidRPr="009A1CF9" w:rsidRDefault="005B5DFE" w:rsidP="00760030">
                          <w:pPr>
                            <w:jc w:val="center"/>
                          </w:pPr>
                          <w:r>
                            <w:t>C</w:t>
                          </w:r>
                          <w:r w:rsidR="00662845" w:rsidRPr="009A1CF9">
                            <w:t>omplexity</w:t>
                          </w:r>
                        </w:p>
                        <w:p w14:paraId="5C6E0804" w14:textId="6AA05D74" w:rsidR="009A1CF9" w:rsidRPr="009A1CF9" w:rsidRDefault="009A1CF9" w:rsidP="00D41AAD">
                          <w:pPr>
                            <w:pStyle w:val="ListParagraph"/>
                            <w:numPr>
                              <w:ilvl w:val="0"/>
                              <w:numId w:val="24"/>
                            </w:numPr>
                          </w:pPr>
                          <w:r w:rsidRPr="009A1CF9">
                            <w:t>High</w:t>
                          </w:r>
                        </w:p>
                        <w:p w14:paraId="2F1DDEE3" w14:textId="1004F5E6" w:rsidR="009A1CF9" w:rsidRPr="009A1CF9" w:rsidRDefault="009A1CF9" w:rsidP="00D41AAD">
                          <w:pPr>
                            <w:pStyle w:val="ListParagraph"/>
                            <w:numPr>
                              <w:ilvl w:val="0"/>
                              <w:numId w:val="24"/>
                            </w:numPr>
                          </w:pPr>
                          <w:r w:rsidRPr="009A1CF9">
                            <w:t>Low</w:t>
                          </w:r>
                        </w:p>
                      </w:txbxContent>
                    </v:textbox>
                  </v:rect>
                  <v:rect id="Rectangle 11" o:spid="_x0000_s1030" style="position:absolute;left:54927;top:12414;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4D7E552" w14:textId="2B45D337" w:rsidR="00760030" w:rsidRPr="004125A4" w:rsidRDefault="00BF6EBA" w:rsidP="00BF6EBA">
                          <w:pPr>
                            <w:jc w:val="center"/>
                          </w:pPr>
                          <w:r w:rsidRPr="004125A4">
                            <w:t xml:space="preserve">Psychological ownership </w:t>
                          </w:r>
                        </w:p>
                      </w:txbxContent>
                    </v:textbox>
                  </v:rect>
                  <v:shapetype id="_x0000_t202" coordsize="21600,21600" o:spt="202" path="m,l,21600r21600,l21600,xe">
                    <v:stroke joinstyle="miter"/>
                    <v:path gradientshapeok="t" o:connecttype="rect"/>
                  </v:shapetype>
                  <v:shape id="Text Box 15" o:spid="_x0000_s1031" type="#_x0000_t202" style="position:absolute;left:5853;top:8890;width:7429;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8BD351F" w14:textId="0A1D94B5" w:rsidR="00760030" w:rsidRPr="00760030" w:rsidRDefault="00760030" w:rsidP="00760030">
                          <w:pPr>
                            <w:jc w:val="center"/>
                            <w:rPr>
                              <w:lang w:val="es-CO"/>
                            </w:rPr>
                          </w:pPr>
                          <w:r>
                            <w:rPr>
                              <w:lang w:val="es-CO"/>
                            </w:rPr>
                            <w:t>IV</w:t>
                          </w:r>
                        </w:p>
                      </w:txbxContent>
                    </v:textbox>
                  </v:shape>
                  <v:rect id="Rectangle 13" o:spid="_x0000_s1032" style="position:absolute;left:55245;top:26447;width:1228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11066792" w14:textId="77777777" w:rsidR="00760030" w:rsidRPr="00760030" w:rsidRDefault="00760030" w:rsidP="00760030">
                          <w:pPr>
                            <w:rPr>
                              <w:sz w:val="18"/>
                              <w:szCs w:val="18"/>
                            </w:rPr>
                          </w:pPr>
                          <w:r w:rsidRPr="00760030">
                            <w:rPr>
                              <w:sz w:val="18"/>
                              <w:szCs w:val="18"/>
                            </w:rPr>
                            <w:t>Covariates:</w:t>
                          </w:r>
                        </w:p>
                        <w:p w14:paraId="5210834F" w14:textId="7BD8946E" w:rsidR="00760030" w:rsidRPr="00760030" w:rsidRDefault="00760030" w:rsidP="00760030">
                          <w:pPr>
                            <w:pStyle w:val="ListParagraph"/>
                            <w:numPr>
                              <w:ilvl w:val="0"/>
                              <w:numId w:val="12"/>
                            </w:numPr>
                            <w:rPr>
                              <w:sz w:val="18"/>
                              <w:szCs w:val="18"/>
                            </w:rPr>
                          </w:pPr>
                          <w:r w:rsidRPr="00760030">
                            <w:rPr>
                              <w:sz w:val="18"/>
                              <w:szCs w:val="18"/>
                            </w:rPr>
                            <w:t>Age</w:t>
                          </w:r>
                        </w:p>
                        <w:p w14:paraId="183DE1C4" w14:textId="51439B8F" w:rsidR="00760030" w:rsidRPr="00760030" w:rsidRDefault="00760030" w:rsidP="00760030">
                          <w:pPr>
                            <w:pStyle w:val="ListParagraph"/>
                            <w:numPr>
                              <w:ilvl w:val="0"/>
                              <w:numId w:val="12"/>
                            </w:numPr>
                            <w:rPr>
                              <w:sz w:val="18"/>
                              <w:szCs w:val="18"/>
                            </w:rPr>
                          </w:pPr>
                          <w:r w:rsidRPr="00760030">
                            <w:rPr>
                              <w:sz w:val="18"/>
                              <w:szCs w:val="18"/>
                            </w:rPr>
                            <w:t>Gender</w:t>
                          </w:r>
                        </w:p>
                        <w:p w14:paraId="4E6D53A1" w14:textId="53743CDB" w:rsidR="00760030" w:rsidRPr="00AB1182" w:rsidRDefault="00760030" w:rsidP="00AB1182">
                          <w:pPr>
                            <w:rPr>
                              <w:sz w:val="18"/>
                              <w:szCs w:val="18"/>
                            </w:rPr>
                          </w:pPr>
                          <w:r w:rsidRPr="00AB1182">
                            <w:rPr>
                              <w:sz w:val="18"/>
                              <w:szCs w:val="18"/>
                            </w:rPr>
                            <w:br/>
                          </w:r>
                        </w:p>
                      </w:txbxContent>
                    </v:textbox>
                  </v:rect>
                  <v:shape id="Text Box 16" o:spid="_x0000_s1033" type="#_x0000_t202" style="position:absolute;left:30282;top:-107;width:9900;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6117F80" w14:textId="356E4BB7" w:rsidR="00760030" w:rsidRPr="00760030" w:rsidRDefault="000F1B96" w:rsidP="00760030">
                          <w:pPr>
                            <w:jc w:val="center"/>
                            <w:rPr>
                              <w:lang w:val="es-CO"/>
                            </w:rPr>
                          </w:pPr>
                          <w:proofErr w:type="spellStart"/>
                          <w:r>
                            <w:rPr>
                              <w:lang w:val="es-CO"/>
                            </w:rPr>
                            <w:t>M</w:t>
                          </w:r>
                          <w:r w:rsidR="00662845">
                            <w:rPr>
                              <w:lang w:val="es-CO"/>
                            </w:rPr>
                            <w:t>oderator</w:t>
                          </w:r>
                          <w:proofErr w:type="spellEnd"/>
                        </w:p>
                      </w:txbxContent>
                    </v:textbox>
                  </v:shape>
                  <v:shape id="Text Box 17" o:spid="_x0000_s1034" type="#_x0000_t202" style="position:absolute;left:57531;top:8096;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33B12634" w14:textId="125904CC" w:rsidR="00760030" w:rsidRPr="00760030" w:rsidRDefault="00760030" w:rsidP="00760030">
                          <w:pPr>
                            <w:jc w:val="center"/>
                            <w:rPr>
                              <w:lang w:val="es-CO"/>
                            </w:rPr>
                          </w:pPr>
                          <w:r>
                            <w:rPr>
                              <w:lang w:val="es-CO"/>
                            </w:rPr>
                            <w:t>DV</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18705;top:19335;width:35433;height: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Straight Arrow Connector 14" o:spid="_x0000_s1036" type="#_x0000_t32" style="position:absolute;left:61722;top:20066;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group>
                <v:shape id="Straight Arrow Connector 6" o:spid="_x0000_s1037" type="#_x0000_t32" style="position:absolute;left:34337;top:12477;width:31;height:4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group>
            </w:pict>
          </mc:Fallback>
        </mc:AlternateContent>
      </w:r>
    </w:p>
    <w:p w14:paraId="23A1D07F" w14:textId="70069685" w:rsidR="00A57813" w:rsidRDefault="00A57813">
      <w:pPr>
        <w:spacing w:line="360" w:lineRule="auto"/>
        <w:jc w:val="both"/>
        <w:rPr>
          <w:rFonts w:ascii="Times New Roman"/>
          <w:sz w:val="24"/>
        </w:rPr>
      </w:pPr>
    </w:p>
    <w:p w14:paraId="4BF298BE" w14:textId="3030DE18" w:rsidR="00A57813" w:rsidRDefault="00A57813">
      <w:pPr>
        <w:spacing w:line="360" w:lineRule="auto"/>
        <w:jc w:val="both"/>
        <w:rPr>
          <w:rFonts w:ascii="Times New Roman"/>
          <w:sz w:val="24"/>
        </w:rPr>
      </w:pPr>
    </w:p>
    <w:p w14:paraId="3E2DDC0B" w14:textId="291CC989" w:rsidR="00A57813" w:rsidRDefault="00A57813">
      <w:pPr>
        <w:spacing w:line="360" w:lineRule="auto"/>
        <w:jc w:val="both"/>
        <w:rPr>
          <w:rFonts w:ascii="Times New Roman"/>
          <w:sz w:val="24"/>
        </w:rPr>
      </w:pPr>
    </w:p>
    <w:p w14:paraId="69D52A19" w14:textId="1E3A1472" w:rsidR="00A57813" w:rsidRDefault="00A57813">
      <w:pPr>
        <w:spacing w:line="360" w:lineRule="auto"/>
        <w:jc w:val="both"/>
        <w:rPr>
          <w:rFonts w:ascii="Times New Roman"/>
          <w:sz w:val="24"/>
        </w:rPr>
      </w:pPr>
    </w:p>
    <w:p w14:paraId="39B67B49" w14:textId="2B0AACE6" w:rsidR="00A57813" w:rsidRDefault="00A57813">
      <w:pPr>
        <w:spacing w:line="360" w:lineRule="auto"/>
        <w:jc w:val="both"/>
        <w:rPr>
          <w:rFonts w:ascii="Times New Roman"/>
          <w:sz w:val="24"/>
        </w:rPr>
      </w:pPr>
    </w:p>
    <w:p w14:paraId="30A60898" w14:textId="77777777" w:rsidR="00A57813" w:rsidRDefault="00A57813">
      <w:pPr>
        <w:spacing w:line="360" w:lineRule="auto"/>
        <w:jc w:val="both"/>
        <w:rPr>
          <w:rFonts w:ascii="Times New Roman"/>
          <w:sz w:val="24"/>
        </w:rPr>
      </w:pPr>
    </w:p>
    <w:p w14:paraId="7C92D3FE" w14:textId="2DD1BDF2" w:rsidR="005C3613" w:rsidRDefault="005C3613" w:rsidP="005C3613">
      <w:pPr>
        <w:rPr>
          <w:rFonts w:ascii="Times New Roman"/>
          <w:sz w:val="24"/>
        </w:rPr>
      </w:pPr>
    </w:p>
    <w:p w14:paraId="6270C1E2" w14:textId="1ACAD432" w:rsidR="00FF1488" w:rsidRDefault="00FF1488" w:rsidP="005C3613">
      <w:pPr>
        <w:rPr>
          <w:rFonts w:ascii="Times New Roman"/>
          <w:sz w:val="24"/>
        </w:rPr>
      </w:pPr>
    </w:p>
    <w:p w14:paraId="723B3483" w14:textId="645A8830" w:rsidR="00FF1488" w:rsidRDefault="00FF1488" w:rsidP="005C3613">
      <w:pPr>
        <w:rPr>
          <w:rFonts w:ascii="Times New Roman"/>
          <w:sz w:val="24"/>
        </w:rPr>
      </w:pPr>
    </w:p>
    <w:p w14:paraId="00278A5C" w14:textId="544D36F9" w:rsidR="00FF1488" w:rsidRDefault="00FF1488" w:rsidP="005C3613">
      <w:pPr>
        <w:rPr>
          <w:rFonts w:ascii="Times New Roman"/>
          <w:sz w:val="24"/>
        </w:rPr>
      </w:pPr>
    </w:p>
    <w:p w14:paraId="3142CFF1" w14:textId="6B301016" w:rsidR="00523772" w:rsidRDefault="00523772" w:rsidP="005C3613">
      <w:pPr>
        <w:rPr>
          <w:rFonts w:ascii="Times New Roman"/>
          <w:sz w:val="24"/>
        </w:rPr>
      </w:pPr>
    </w:p>
    <w:p w14:paraId="2DE61D65" w14:textId="700279D7" w:rsidR="00523772" w:rsidRDefault="00523772" w:rsidP="005C3613">
      <w:pPr>
        <w:rPr>
          <w:rFonts w:ascii="Times New Roman"/>
          <w:sz w:val="24"/>
        </w:rPr>
      </w:pPr>
    </w:p>
    <w:p w14:paraId="55C32404" w14:textId="3A499D66" w:rsidR="00DC53BB" w:rsidRDefault="00DC53BB" w:rsidP="005C3613">
      <w:pPr>
        <w:rPr>
          <w:rFonts w:ascii="Times New Roman"/>
          <w:sz w:val="24"/>
        </w:rPr>
      </w:pPr>
    </w:p>
    <w:p w14:paraId="352813C5" w14:textId="04F8F5B0" w:rsidR="00DC53BB" w:rsidRDefault="00DC53BB" w:rsidP="005C3613">
      <w:pPr>
        <w:rPr>
          <w:rFonts w:ascii="Times New Roman"/>
          <w:sz w:val="24"/>
        </w:rPr>
      </w:pPr>
    </w:p>
    <w:p w14:paraId="5DF61AC8" w14:textId="77777777" w:rsidR="00E2442E" w:rsidRDefault="00E2442E" w:rsidP="005C3613">
      <w:pPr>
        <w:rPr>
          <w:rFonts w:ascii="Times New Roman"/>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Design/Onderzoeksmethode</w:t>
      </w:r>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1A689F7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HCP = High customizable product (between 5 to 10 features to customize)</w:t>
            </w:r>
          </w:p>
          <w:p w14:paraId="71EFFA55" w14:textId="561BBED2"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PCP = Poor customizable product (between 1 to 3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6318CC82"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Measurement: 5 items scale including:  I sense this bike its mine; I feel a very high degree of personal ownership towards this bike; I feel personally connected to this bike; it is hard for me to think about this bike as mine; this bike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47C8847F"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CE6D00">
        <w:rPr>
          <w:rFonts w:ascii="Times New Roman"/>
          <w:color w:val="000000" w:themeColor="text1"/>
          <w:sz w:val="24"/>
        </w:rPr>
        <w:t xml:space="preserve"> x 2 (high complexity, low complexity)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eight experimental conditions. </w:t>
      </w:r>
    </w:p>
    <w:p w14:paraId="728FC6B0" w14:textId="5777D7F0" w:rsidR="00DB762D" w:rsidRDefault="00DB762D"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For the product with high complexity, respondents will be shown an e-bike</w:t>
      </w:r>
      <w:r w:rsidR="00A87A9B">
        <w:rPr>
          <w:rFonts w:ascii="Times New Roman"/>
          <w:color w:val="000000" w:themeColor="text1"/>
          <w:sz w:val="24"/>
        </w:rPr>
        <w:t xml:space="preserve"> with all its technical specifications detailed written above the picture, in order to emphasis on the complexity of the product,</w:t>
      </w:r>
      <w:r>
        <w:rPr>
          <w:rFonts w:ascii="Times New Roman"/>
          <w:color w:val="000000" w:themeColor="text1"/>
          <w:sz w:val="24"/>
        </w:rPr>
        <w:t xml:space="preserve"> while for the product with low complexity the item that is going to be shown is a regular bike</w:t>
      </w:r>
      <w:r w:rsidR="00CE1392">
        <w:rPr>
          <w:rFonts w:ascii="Times New Roman"/>
          <w:color w:val="000000" w:themeColor="text1"/>
          <w:sz w:val="24"/>
        </w:rPr>
        <w:t xml:space="preserve"> and its main specification are going to be broadly mentioned</w:t>
      </w:r>
      <w:r>
        <w:rPr>
          <w:rFonts w:ascii="Times New Roman"/>
          <w:color w:val="000000" w:themeColor="text1"/>
          <w:sz w:val="24"/>
        </w:rPr>
        <w:t xml:space="preserve">. </w:t>
      </w:r>
      <w:r w:rsidR="00C8106B">
        <w:rPr>
          <w:rFonts w:ascii="Times New Roman"/>
          <w:color w:val="000000" w:themeColor="text1"/>
          <w:sz w:val="24"/>
        </w:rPr>
        <w:t xml:space="preserve">Afterward, participants will be asked to customize that product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E76076">
        <w:rPr>
          <w:rFonts w:ascii="Times New Roman"/>
          <w:color w:val="000000" w:themeColor="text1"/>
          <w:sz w:val="24"/>
        </w:rPr>
        <w:t>Finally,</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previously described, in order to measure their psychological ownership toward the customized product.</w:t>
      </w:r>
    </w:p>
    <w:p w14:paraId="24CAF4B0" w14:textId="1919D8D5" w:rsidR="00DA19D4" w:rsidRDefault="00DA19D4" w:rsidP="00DB762D">
      <w:pPr>
        <w:spacing w:before="137" w:line="360" w:lineRule="auto"/>
        <w:ind w:left="200" w:right="115" w:firstLine="520"/>
        <w:jc w:val="both"/>
        <w:rPr>
          <w:rFonts w:ascii="Times New Roman"/>
          <w:color w:val="000000" w:themeColor="text1"/>
          <w:sz w:val="24"/>
        </w:rPr>
      </w:pPr>
    </w:p>
    <w:p w14:paraId="1241B024" w14:textId="75AAE7EB" w:rsidR="00085AAB" w:rsidRDefault="006D386D" w:rsidP="00371080">
      <w:pPr>
        <w:pStyle w:val="Heading3"/>
        <w:spacing w:line="360" w:lineRule="auto"/>
        <w:jc w:val="left"/>
      </w:pPr>
      <w:r>
        <w:t>References/Referenties</w:t>
      </w:r>
    </w:p>
    <w:p w14:paraId="553ADBA7" w14:textId="494C90F4" w:rsidR="00E76076" w:rsidRDefault="00E76076" w:rsidP="00371080">
      <w:pPr>
        <w:pStyle w:val="Heading3"/>
        <w:numPr>
          <w:ilvl w:val="0"/>
          <w:numId w:val="23"/>
        </w:numPr>
        <w:spacing w:line="360" w:lineRule="auto"/>
        <w:jc w:val="left"/>
      </w:pPr>
      <w:r w:rsidRPr="00E76076">
        <w:t>Bhattacharya, B. (2010). Urbanization Urban Sustainability and the Future of Cities. New Delhi: Concept Publishing Company.</w:t>
      </w:r>
    </w:p>
    <w:p w14:paraId="37139095" w14:textId="7B9B07AD" w:rsidR="00E76076" w:rsidRDefault="00E76076" w:rsidP="00371080">
      <w:pPr>
        <w:pStyle w:val="Heading3"/>
        <w:numPr>
          <w:ilvl w:val="0"/>
          <w:numId w:val="23"/>
        </w:numPr>
        <w:spacing w:line="360" w:lineRule="auto"/>
        <w:jc w:val="left"/>
      </w:pPr>
      <w:r w:rsidRPr="00E76076">
        <w:t>Dhar, R., &amp; Wertenbroch, K. (2000). Consumer Choice Between Hedonic and Utilitarian Goods. Journal of Marketing Research, 60-71.</w:t>
      </w:r>
    </w:p>
    <w:p w14:paraId="05827BE0" w14:textId="54668D54" w:rsidR="00E76076" w:rsidRDefault="004479A1" w:rsidP="00371080">
      <w:pPr>
        <w:pStyle w:val="Heading3"/>
        <w:numPr>
          <w:ilvl w:val="0"/>
          <w:numId w:val="23"/>
        </w:numPr>
        <w:spacing w:line="360" w:lineRule="auto"/>
        <w:jc w:val="left"/>
      </w:pPr>
      <w:r w:rsidRPr="004479A1">
        <w:t>Du, R., Hu, Y., &amp; Damangir, S. (2015). Leveraging Trends in Online Searches for Product Features in Market Response Modeling. Journal of Marketing, 29-43.</w:t>
      </w:r>
    </w:p>
    <w:p w14:paraId="7D48B8DD" w14:textId="4371F874" w:rsidR="004479A1" w:rsidRDefault="004479A1" w:rsidP="00371080">
      <w:pPr>
        <w:pStyle w:val="Heading3"/>
        <w:numPr>
          <w:ilvl w:val="0"/>
          <w:numId w:val="23"/>
        </w:numPr>
        <w:spacing w:line="360" w:lineRule="auto"/>
        <w:jc w:val="left"/>
      </w:pPr>
      <w:r w:rsidRPr="004479A1">
        <w:rPr>
          <w:lang w:val="nl-NL"/>
        </w:rPr>
        <w:t xml:space="preserve">Franke, N., Keinz, P., &amp; Steger, C. (2009). </w:t>
      </w:r>
      <w:r w:rsidRPr="004479A1">
        <w:t>Testing the Value of Customization: When Do Customers Really Prefer Products Tailored to Their Preferences? Journal of Marketing, 103-121.</w:t>
      </w:r>
    </w:p>
    <w:p w14:paraId="0E518F79" w14:textId="48F4BDB0" w:rsidR="004479A1" w:rsidRDefault="004479A1" w:rsidP="00371080">
      <w:pPr>
        <w:pStyle w:val="Heading3"/>
        <w:numPr>
          <w:ilvl w:val="0"/>
          <w:numId w:val="23"/>
        </w:numPr>
        <w:spacing w:line="360" w:lineRule="auto"/>
        <w:jc w:val="left"/>
      </w:pPr>
      <w:r w:rsidRPr="004479A1">
        <w:t>Lacy, P., Long, J., &amp; Spindler, W. (2020). The Circular Economy Handbook: Realizing the Circular Advantage. London: Palgrave macmillan.</w:t>
      </w:r>
    </w:p>
    <w:p w14:paraId="701DE4F2" w14:textId="339B9CF1" w:rsidR="004479A1" w:rsidRDefault="004479A1" w:rsidP="00371080">
      <w:pPr>
        <w:pStyle w:val="Heading3"/>
        <w:numPr>
          <w:ilvl w:val="0"/>
          <w:numId w:val="23"/>
        </w:numPr>
        <w:spacing w:line="360" w:lineRule="auto"/>
        <w:jc w:val="left"/>
      </w:pPr>
      <w:r w:rsidRPr="004479A1">
        <w:t>Lancaster, K. (1966). A New Approach to Consumer Theory. Journal of Political Economy, 132-157.</w:t>
      </w:r>
    </w:p>
    <w:p w14:paraId="73E0A3B0" w14:textId="1B68E0FD" w:rsidR="004479A1" w:rsidRDefault="004479A1" w:rsidP="00371080">
      <w:pPr>
        <w:pStyle w:val="Heading3"/>
        <w:numPr>
          <w:ilvl w:val="0"/>
          <w:numId w:val="23"/>
        </w:numPr>
        <w:spacing w:line="360" w:lineRule="auto"/>
        <w:jc w:val="left"/>
      </w:pPr>
      <w:r w:rsidRPr="004479A1">
        <w:t xml:space="preserve">Lee, Y., &amp; Kim, H. (2020). The Effect of Online Customization on Consumers’ Happiness and Purchase Intention and the Mediating Roles of Autonomy, </w:t>
      </w:r>
      <w:r w:rsidRPr="004479A1">
        <w:lastRenderedPageBreak/>
        <w:t>Competence, and Pride of Authorship. International Journal of Human–Computer Interaction, 403-413.</w:t>
      </w:r>
    </w:p>
    <w:p w14:paraId="218BFF7C" w14:textId="77CD5A3A" w:rsidR="004479A1" w:rsidRDefault="004479A1" w:rsidP="00371080">
      <w:pPr>
        <w:pStyle w:val="Heading3"/>
        <w:numPr>
          <w:ilvl w:val="0"/>
          <w:numId w:val="23"/>
        </w:numPr>
        <w:spacing w:line="360" w:lineRule="auto"/>
        <w:jc w:val="left"/>
      </w:pPr>
      <w:r w:rsidRPr="004479A1">
        <w:t>Li, D., &amp; Atkinson, L. (2020). The role of psychological ownership in consumer happiness. Journal of Consumer Marketing.</w:t>
      </w:r>
    </w:p>
    <w:p w14:paraId="1C0B544A" w14:textId="41F811B7" w:rsidR="002F0918" w:rsidRDefault="002F0918" w:rsidP="00371080">
      <w:pPr>
        <w:pStyle w:val="Heading3"/>
        <w:numPr>
          <w:ilvl w:val="0"/>
          <w:numId w:val="23"/>
        </w:numPr>
        <w:spacing w:line="360" w:lineRule="auto"/>
        <w:jc w:val="left"/>
      </w:pPr>
      <w:r w:rsidRPr="002F0918">
        <w:t>Lowrey, T. (1998). The Effects of Syntactic Complexity on Advertising Persuasiveness. Journal of Consumer Psychology, 187-206.</w:t>
      </w:r>
    </w:p>
    <w:p w14:paraId="000127BD" w14:textId="45D111BC" w:rsidR="004479A1" w:rsidRDefault="004479A1" w:rsidP="00371080">
      <w:pPr>
        <w:pStyle w:val="Heading3"/>
        <w:numPr>
          <w:ilvl w:val="0"/>
          <w:numId w:val="23"/>
        </w:numPr>
        <w:spacing w:line="360" w:lineRule="auto"/>
        <w:jc w:val="left"/>
      </w:pPr>
      <w:r w:rsidRPr="004479A1">
        <w:t>Morewedge, C., Monga, A., Palmatier, R., Shu, S., &amp; Small, D. (2021). Evolution of Consumption: A Psychological Ownership Framework. Journal of Marketing, 196-218.</w:t>
      </w:r>
    </w:p>
    <w:p w14:paraId="00A223B4" w14:textId="0F425A24" w:rsidR="004479A1" w:rsidRDefault="004479A1" w:rsidP="00371080">
      <w:pPr>
        <w:pStyle w:val="Heading3"/>
        <w:numPr>
          <w:ilvl w:val="0"/>
          <w:numId w:val="23"/>
        </w:numPr>
        <w:spacing w:line="360" w:lineRule="auto"/>
        <w:jc w:val="left"/>
      </w:pPr>
      <w:r w:rsidRPr="004479A1">
        <w:t>Norton, M., Mochon, D., &amp; Ariely , D. (2012). The “IKEA Effect”: When Labor Leads to Love. Journal of Consumer Psychology, 453-460.</w:t>
      </w:r>
    </w:p>
    <w:p w14:paraId="7F88D87D" w14:textId="45BA7E8E" w:rsidR="004479A1" w:rsidRDefault="004479A1" w:rsidP="00371080">
      <w:pPr>
        <w:pStyle w:val="Heading3"/>
        <w:numPr>
          <w:ilvl w:val="0"/>
          <w:numId w:val="23"/>
        </w:numPr>
        <w:spacing w:line="360" w:lineRule="auto"/>
        <w:jc w:val="left"/>
      </w:pPr>
      <w:r w:rsidRPr="004479A1">
        <w:rPr>
          <w:lang w:val="es-CO"/>
        </w:rPr>
        <w:t xml:space="preserve">Orasmaa, A., Laurila, L., &amp; Liimatainen, H. (2020). </w:t>
      </w:r>
      <w:r w:rsidRPr="004479A1">
        <w:t>Rethinking ownership. Sitra studies, 1-42.</w:t>
      </w:r>
    </w:p>
    <w:p w14:paraId="1E95ECD2" w14:textId="3FDB6DE7" w:rsidR="004479A1" w:rsidRDefault="004479A1" w:rsidP="00371080">
      <w:pPr>
        <w:pStyle w:val="Heading3"/>
        <w:numPr>
          <w:ilvl w:val="0"/>
          <w:numId w:val="23"/>
        </w:numPr>
        <w:spacing w:line="360" w:lineRule="auto"/>
        <w:jc w:val="left"/>
      </w:pPr>
      <w:r w:rsidRPr="004479A1">
        <w:rPr>
          <w:lang w:val="nl-NL"/>
        </w:rPr>
        <w:t xml:space="preserve">Pierce, J., &amp; Van Dyne, L. (2004). </w:t>
      </w:r>
      <w:r w:rsidRPr="004479A1">
        <w:t>Psychological Ownership and Feelings of Possession: Three Field Studies Predicting Employee Attitudes and Organizational Citizenship Behavior. Journal of Organizational Behavior, 439-459.</w:t>
      </w:r>
    </w:p>
    <w:p w14:paraId="60140C42" w14:textId="7C273BE8" w:rsidR="006B5542" w:rsidRDefault="006B5542" w:rsidP="00371080">
      <w:pPr>
        <w:pStyle w:val="Heading3"/>
        <w:numPr>
          <w:ilvl w:val="0"/>
          <w:numId w:val="23"/>
        </w:numPr>
        <w:spacing w:line="360" w:lineRule="auto"/>
        <w:jc w:val="left"/>
      </w:pPr>
      <w:r w:rsidRPr="006B5542">
        <w:rPr>
          <w:noProof/>
          <w:lang w:val="nl-NL"/>
        </w:rPr>
        <w:t xml:space="preserve">Pieters, R., Wedel, M., &amp; Batra, R. (2010). </w:t>
      </w:r>
      <w:r>
        <w:rPr>
          <w:noProof/>
        </w:rPr>
        <w:t xml:space="preserve">The Stopping Power of Advertising: Measures and Effects of Visual Complexity. </w:t>
      </w:r>
      <w:r>
        <w:rPr>
          <w:i/>
          <w:iCs/>
          <w:noProof/>
        </w:rPr>
        <w:t>Journal of Marketing</w:t>
      </w:r>
      <w:r>
        <w:rPr>
          <w:noProof/>
        </w:rPr>
        <w:t>, 48-60</w:t>
      </w:r>
    </w:p>
    <w:p w14:paraId="2A12D933" w14:textId="3757777E" w:rsidR="004479A1" w:rsidRDefault="004479A1" w:rsidP="00371080">
      <w:pPr>
        <w:pStyle w:val="Heading3"/>
        <w:numPr>
          <w:ilvl w:val="0"/>
          <w:numId w:val="23"/>
        </w:numPr>
        <w:spacing w:line="360" w:lineRule="auto"/>
        <w:jc w:val="left"/>
      </w:pPr>
      <w:r w:rsidRPr="004479A1">
        <w:t>Schreier, M. (2006). The value increment of mass-customized products: an empirical assessment. Journal of Consumer Behaviour, 317-327.</w:t>
      </w:r>
    </w:p>
    <w:p w14:paraId="318FFFFB" w14:textId="2D03405A" w:rsidR="00371080" w:rsidRDefault="00371080" w:rsidP="00371080">
      <w:pPr>
        <w:pStyle w:val="Heading3"/>
        <w:numPr>
          <w:ilvl w:val="0"/>
          <w:numId w:val="23"/>
        </w:numPr>
        <w:spacing w:line="360" w:lineRule="auto"/>
        <w:jc w:val="left"/>
      </w:pPr>
      <w:r w:rsidRPr="00371080">
        <w:t>Swait, J., &amp; Adamowicz, W. (2001). The Influence of Task Complexity on Consumer Choice: A Latent Class Model of Decision Strategy Switching. J</w:t>
      </w:r>
      <w:r>
        <w:t>ournal</w:t>
      </w:r>
      <w:r w:rsidRPr="00371080">
        <w:t xml:space="preserve"> </w:t>
      </w:r>
      <w:r>
        <w:t>of Consumer Research</w:t>
      </w:r>
      <w:r w:rsidRPr="00371080">
        <w:t>, 135-148.</w:t>
      </w: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BAE8" w14:textId="77777777" w:rsidR="00DA5F6A" w:rsidRDefault="00DA5F6A">
      <w:r>
        <w:separator/>
      </w:r>
    </w:p>
  </w:endnote>
  <w:endnote w:type="continuationSeparator" w:id="0">
    <w:p w14:paraId="09BE2935" w14:textId="77777777" w:rsidR="00DA5F6A" w:rsidRDefault="00DA5F6A">
      <w:r>
        <w:continuationSeparator/>
      </w:r>
    </w:p>
  </w:endnote>
  <w:endnote w:type="continuationNotice" w:id="1">
    <w:p w14:paraId="26315E79" w14:textId="77777777" w:rsidR="00DA5F6A" w:rsidRDefault="00DA5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EFF6" w14:textId="77777777" w:rsidR="00DA5F6A" w:rsidRDefault="00DA5F6A">
      <w:r>
        <w:separator/>
      </w:r>
    </w:p>
  </w:footnote>
  <w:footnote w:type="continuationSeparator" w:id="0">
    <w:p w14:paraId="3805F675" w14:textId="77777777" w:rsidR="00DA5F6A" w:rsidRDefault="00DA5F6A">
      <w:r>
        <w:continuationSeparator/>
      </w:r>
    </w:p>
  </w:footnote>
  <w:footnote w:type="continuationNotice" w:id="1">
    <w:p w14:paraId="65BC58F9" w14:textId="77777777" w:rsidR="00DA5F6A" w:rsidRDefault="00DA5F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1"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6"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0"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1"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5"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7"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18"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1"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2"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5"/>
  </w:num>
  <w:num w:numId="2" w16cid:durableId="1189560116">
    <w:abstractNumId w:val="17"/>
  </w:num>
  <w:num w:numId="3" w16cid:durableId="970406269">
    <w:abstractNumId w:val="10"/>
  </w:num>
  <w:num w:numId="4" w16cid:durableId="1317416629">
    <w:abstractNumId w:val="23"/>
  </w:num>
  <w:num w:numId="5" w16cid:durableId="1037655340">
    <w:abstractNumId w:val="21"/>
  </w:num>
  <w:num w:numId="6" w16cid:durableId="452754310">
    <w:abstractNumId w:val="0"/>
  </w:num>
  <w:num w:numId="7" w16cid:durableId="175115379">
    <w:abstractNumId w:val="9"/>
  </w:num>
  <w:num w:numId="8" w16cid:durableId="1349133973">
    <w:abstractNumId w:val="20"/>
  </w:num>
  <w:num w:numId="9" w16cid:durableId="1775129039">
    <w:abstractNumId w:val="16"/>
  </w:num>
  <w:num w:numId="10" w16cid:durableId="1095441991">
    <w:abstractNumId w:val="11"/>
  </w:num>
  <w:num w:numId="11" w16cid:durableId="273367548">
    <w:abstractNumId w:val="6"/>
  </w:num>
  <w:num w:numId="12" w16cid:durableId="2129162624">
    <w:abstractNumId w:val="2"/>
  </w:num>
  <w:num w:numId="13" w16cid:durableId="132144349">
    <w:abstractNumId w:val="12"/>
  </w:num>
  <w:num w:numId="14" w16cid:durableId="232198309">
    <w:abstractNumId w:val="8"/>
  </w:num>
  <w:num w:numId="15" w16cid:durableId="1434127496">
    <w:abstractNumId w:val="14"/>
  </w:num>
  <w:num w:numId="16" w16cid:durableId="1955937627">
    <w:abstractNumId w:val="22"/>
  </w:num>
  <w:num w:numId="17" w16cid:durableId="919287155">
    <w:abstractNumId w:val="7"/>
  </w:num>
  <w:num w:numId="18" w16cid:durableId="837306438">
    <w:abstractNumId w:val="18"/>
  </w:num>
  <w:num w:numId="19" w16cid:durableId="1099302071">
    <w:abstractNumId w:val="4"/>
  </w:num>
  <w:num w:numId="20" w16cid:durableId="804738839">
    <w:abstractNumId w:val="15"/>
  </w:num>
  <w:num w:numId="21" w16cid:durableId="1892574057">
    <w:abstractNumId w:val="1"/>
  </w:num>
  <w:num w:numId="22" w16cid:durableId="1704211963">
    <w:abstractNumId w:val="3"/>
  </w:num>
  <w:num w:numId="23" w16cid:durableId="1411582221">
    <w:abstractNumId w:val="19"/>
  </w:num>
  <w:num w:numId="24" w16cid:durableId="49889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56CF"/>
    <w:rsid w:val="00024976"/>
    <w:rsid w:val="0003657B"/>
    <w:rsid w:val="000402AA"/>
    <w:rsid w:val="00040471"/>
    <w:rsid w:val="000447CC"/>
    <w:rsid w:val="00044ABF"/>
    <w:rsid w:val="00060776"/>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71E0"/>
    <w:rsid w:val="000F1B96"/>
    <w:rsid w:val="000F6F5F"/>
    <w:rsid w:val="000F7C47"/>
    <w:rsid w:val="00117D18"/>
    <w:rsid w:val="00131913"/>
    <w:rsid w:val="00133049"/>
    <w:rsid w:val="00134679"/>
    <w:rsid w:val="00141962"/>
    <w:rsid w:val="001439D4"/>
    <w:rsid w:val="00145442"/>
    <w:rsid w:val="00147281"/>
    <w:rsid w:val="00152ADB"/>
    <w:rsid w:val="00160C11"/>
    <w:rsid w:val="0016241C"/>
    <w:rsid w:val="001717E6"/>
    <w:rsid w:val="001755BE"/>
    <w:rsid w:val="0017603A"/>
    <w:rsid w:val="00176BC8"/>
    <w:rsid w:val="00180E1F"/>
    <w:rsid w:val="00184150"/>
    <w:rsid w:val="001861D0"/>
    <w:rsid w:val="001946FC"/>
    <w:rsid w:val="001A5762"/>
    <w:rsid w:val="001A614E"/>
    <w:rsid w:val="001B2DC0"/>
    <w:rsid w:val="001B4D71"/>
    <w:rsid w:val="001C0855"/>
    <w:rsid w:val="001D08BB"/>
    <w:rsid w:val="001E04E7"/>
    <w:rsid w:val="001E6A7D"/>
    <w:rsid w:val="001F055F"/>
    <w:rsid w:val="001F0D42"/>
    <w:rsid w:val="001F5926"/>
    <w:rsid w:val="001F6B53"/>
    <w:rsid w:val="00202491"/>
    <w:rsid w:val="00203A06"/>
    <w:rsid w:val="00204C81"/>
    <w:rsid w:val="002218F5"/>
    <w:rsid w:val="00225D07"/>
    <w:rsid w:val="00226B71"/>
    <w:rsid w:val="00227910"/>
    <w:rsid w:val="002426AE"/>
    <w:rsid w:val="00244270"/>
    <w:rsid w:val="00256059"/>
    <w:rsid w:val="002569C6"/>
    <w:rsid w:val="00263DD5"/>
    <w:rsid w:val="0026597C"/>
    <w:rsid w:val="00265D5B"/>
    <w:rsid w:val="002675C5"/>
    <w:rsid w:val="00267A83"/>
    <w:rsid w:val="00272C6E"/>
    <w:rsid w:val="00281214"/>
    <w:rsid w:val="00294DED"/>
    <w:rsid w:val="002A224B"/>
    <w:rsid w:val="002A414D"/>
    <w:rsid w:val="002B32CE"/>
    <w:rsid w:val="002B3DE2"/>
    <w:rsid w:val="002C0499"/>
    <w:rsid w:val="002D163E"/>
    <w:rsid w:val="002D2B62"/>
    <w:rsid w:val="002D32F9"/>
    <w:rsid w:val="002E2DD6"/>
    <w:rsid w:val="002E63DF"/>
    <w:rsid w:val="002F0918"/>
    <w:rsid w:val="002F47FB"/>
    <w:rsid w:val="003009DE"/>
    <w:rsid w:val="003051DE"/>
    <w:rsid w:val="00306AA0"/>
    <w:rsid w:val="00322D6D"/>
    <w:rsid w:val="003404E8"/>
    <w:rsid w:val="0035227C"/>
    <w:rsid w:val="00356020"/>
    <w:rsid w:val="00363369"/>
    <w:rsid w:val="00371080"/>
    <w:rsid w:val="0037373E"/>
    <w:rsid w:val="003835AC"/>
    <w:rsid w:val="003934F9"/>
    <w:rsid w:val="003B238D"/>
    <w:rsid w:val="003B6592"/>
    <w:rsid w:val="003C3A66"/>
    <w:rsid w:val="003C3DD5"/>
    <w:rsid w:val="003D0D4C"/>
    <w:rsid w:val="003D2D6B"/>
    <w:rsid w:val="003D556A"/>
    <w:rsid w:val="003D7236"/>
    <w:rsid w:val="003D7685"/>
    <w:rsid w:val="003E2145"/>
    <w:rsid w:val="003F24C0"/>
    <w:rsid w:val="003F2D53"/>
    <w:rsid w:val="004033B0"/>
    <w:rsid w:val="00403CFF"/>
    <w:rsid w:val="004043FB"/>
    <w:rsid w:val="004101FA"/>
    <w:rsid w:val="004125A4"/>
    <w:rsid w:val="004160DB"/>
    <w:rsid w:val="004360F2"/>
    <w:rsid w:val="00437565"/>
    <w:rsid w:val="004417E1"/>
    <w:rsid w:val="004454C0"/>
    <w:rsid w:val="004479A1"/>
    <w:rsid w:val="00457486"/>
    <w:rsid w:val="00463B68"/>
    <w:rsid w:val="004660C4"/>
    <w:rsid w:val="0047041C"/>
    <w:rsid w:val="004704BA"/>
    <w:rsid w:val="004739D5"/>
    <w:rsid w:val="00480279"/>
    <w:rsid w:val="00486534"/>
    <w:rsid w:val="004A0297"/>
    <w:rsid w:val="004A3C7C"/>
    <w:rsid w:val="004A5327"/>
    <w:rsid w:val="004A5462"/>
    <w:rsid w:val="004B2B55"/>
    <w:rsid w:val="004B5E93"/>
    <w:rsid w:val="004C16D5"/>
    <w:rsid w:val="004C2CE1"/>
    <w:rsid w:val="004C3B09"/>
    <w:rsid w:val="004C3DBB"/>
    <w:rsid w:val="004D4AB4"/>
    <w:rsid w:val="004F18C5"/>
    <w:rsid w:val="004F19EC"/>
    <w:rsid w:val="00500C1C"/>
    <w:rsid w:val="00502FF5"/>
    <w:rsid w:val="00506C52"/>
    <w:rsid w:val="005145B5"/>
    <w:rsid w:val="00523772"/>
    <w:rsid w:val="00523788"/>
    <w:rsid w:val="005314C2"/>
    <w:rsid w:val="005415D9"/>
    <w:rsid w:val="00545273"/>
    <w:rsid w:val="0055354E"/>
    <w:rsid w:val="00553F9F"/>
    <w:rsid w:val="00563D77"/>
    <w:rsid w:val="00570544"/>
    <w:rsid w:val="005726AC"/>
    <w:rsid w:val="00574373"/>
    <w:rsid w:val="00574B88"/>
    <w:rsid w:val="00575884"/>
    <w:rsid w:val="00577C4D"/>
    <w:rsid w:val="005805B3"/>
    <w:rsid w:val="00591785"/>
    <w:rsid w:val="0059662B"/>
    <w:rsid w:val="005B1210"/>
    <w:rsid w:val="005B5DFE"/>
    <w:rsid w:val="005C2BFC"/>
    <w:rsid w:val="005C3613"/>
    <w:rsid w:val="005D2856"/>
    <w:rsid w:val="005D29D1"/>
    <w:rsid w:val="005D3AA5"/>
    <w:rsid w:val="005D486B"/>
    <w:rsid w:val="005D68FD"/>
    <w:rsid w:val="005E00C6"/>
    <w:rsid w:val="005E730B"/>
    <w:rsid w:val="00601DED"/>
    <w:rsid w:val="00604255"/>
    <w:rsid w:val="00606E75"/>
    <w:rsid w:val="006136E1"/>
    <w:rsid w:val="00614A8B"/>
    <w:rsid w:val="006169CE"/>
    <w:rsid w:val="0062085E"/>
    <w:rsid w:val="0062758D"/>
    <w:rsid w:val="0063108E"/>
    <w:rsid w:val="00631AB6"/>
    <w:rsid w:val="00632591"/>
    <w:rsid w:val="00636DF6"/>
    <w:rsid w:val="00650409"/>
    <w:rsid w:val="006513AC"/>
    <w:rsid w:val="006522D8"/>
    <w:rsid w:val="00654962"/>
    <w:rsid w:val="00660074"/>
    <w:rsid w:val="006605C5"/>
    <w:rsid w:val="0066112A"/>
    <w:rsid w:val="00662845"/>
    <w:rsid w:val="00666D83"/>
    <w:rsid w:val="0067286B"/>
    <w:rsid w:val="00683802"/>
    <w:rsid w:val="006840E3"/>
    <w:rsid w:val="00695298"/>
    <w:rsid w:val="0069574C"/>
    <w:rsid w:val="006A11A3"/>
    <w:rsid w:val="006B2280"/>
    <w:rsid w:val="006B5542"/>
    <w:rsid w:val="006C2D45"/>
    <w:rsid w:val="006C3A76"/>
    <w:rsid w:val="006D017B"/>
    <w:rsid w:val="006D046B"/>
    <w:rsid w:val="006D386D"/>
    <w:rsid w:val="006E1CE8"/>
    <w:rsid w:val="006E23AE"/>
    <w:rsid w:val="006E7C69"/>
    <w:rsid w:val="006F3027"/>
    <w:rsid w:val="006F3558"/>
    <w:rsid w:val="006F3B31"/>
    <w:rsid w:val="00711AE6"/>
    <w:rsid w:val="00721CFA"/>
    <w:rsid w:val="00730871"/>
    <w:rsid w:val="00735E42"/>
    <w:rsid w:val="00741EC0"/>
    <w:rsid w:val="00742446"/>
    <w:rsid w:val="0074592A"/>
    <w:rsid w:val="00747A87"/>
    <w:rsid w:val="00755F94"/>
    <w:rsid w:val="00760030"/>
    <w:rsid w:val="00761922"/>
    <w:rsid w:val="007650F2"/>
    <w:rsid w:val="007812B6"/>
    <w:rsid w:val="00781B26"/>
    <w:rsid w:val="0078506B"/>
    <w:rsid w:val="00787FF5"/>
    <w:rsid w:val="00792D35"/>
    <w:rsid w:val="00793098"/>
    <w:rsid w:val="00797BA1"/>
    <w:rsid w:val="00797D03"/>
    <w:rsid w:val="007A0BE6"/>
    <w:rsid w:val="007A257D"/>
    <w:rsid w:val="007A2F3F"/>
    <w:rsid w:val="007B39A3"/>
    <w:rsid w:val="007B725D"/>
    <w:rsid w:val="007C02DE"/>
    <w:rsid w:val="007C0C9C"/>
    <w:rsid w:val="007D7F98"/>
    <w:rsid w:val="007E3691"/>
    <w:rsid w:val="007E7935"/>
    <w:rsid w:val="007F3E68"/>
    <w:rsid w:val="007F5C3E"/>
    <w:rsid w:val="007F6614"/>
    <w:rsid w:val="00812D57"/>
    <w:rsid w:val="00816611"/>
    <w:rsid w:val="00817865"/>
    <w:rsid w:val="008216CB"/>
    <w:rsid w:val="00835945"/>
    <w:rsid w:val="008473B0"/>
    <w:rsid w:val="00850216"/>
    <w:rsid w:val="00863921"/>
    <w:rsid w:val="00865319"/>
    <w:rsid w:val="00867A55"/>
    <w:rsid w:val="00872DD3"/>
    <w:rsid w:val="0087541D"/>
    <w:rsid w:val="008759E7"/>
    <w:rsid w:val="00896AD5"/>
    <w:rsid w:val="008A2766"/>
    <w:rsid w:val="008C082F"/>
    <w:rsid w:val="008C1264"/>
    <w:rsid w:val="008C7F8F"/>
    <w:rsid w:val="008D127F"/>
    <w:rsid w:val="008D62F7"/>
    <w:rsid w:val="008D6541"/>
    <w:rsid w:val="008E0AF9"/>
    <w:rsid w:val="008E169F"/>
    <w:rsid w:val="008E22B3"/>
    <w:rsid w:val="008E571A"/>
    <w:rsid w:val="008E729B"/>
    <w:rsid w:val="008F407B"/>
    <w:rsid w:val="008F4433"/>
    <w:rsid w:val="008F4833"/>
    <w:rsid w:val="00900C07"/>
    <w:rsid w:val="00901AA6"/>
    <w:rsid w:val="00902B27"/>
    <w:rsid w:val="00902E60"/>
    <w:rsid w:val="009041B6"/>
    <w:rsid w:val="00906D04"/>
    <w:rsid w:val="00912C48"/>
    <w:rsid w:val="009130B9"/>
    <w:rsid w:val="00914B39"/>
    <w:rsid w:val="009218AC"/>
    <w:rsid w:val="0092522D"/>
    <w:rsid w:val="009374F6"/>
    <w:rsid w:val="00937922"/>
    <w:rsid w:val="00943DCC"/>
    <w:rsid w:val="00955ED5"/>
    <w:rsid w:val="00956D64"/>
    <w:rsid w:val="00960C68"/>
    <w:rsid w:val="0096476A"/>
    <w:rsid w:val="00967274"/>
    <w:rsid w:val="00981F43"/>
    <w:rsid w:val="00982002"/>
    <w:rsid w:val="0098292D"/>
    <w:rsid w:val="009944C8"/>
    <w:rsid w:val="00997535"/>
    <w:rsid w:val="009A1703"/>
    <w:rsid w:val="009A1CF9"/>
    <w:rsid w:val="009A7EC7"/>
    <w:rsid w:val="009D399D"/>
    <w:rsid w:val="009E340D"/>
    <w:rsid w:val="009E37D5"/>
    <w:rsid w:val="009E5C85"/>
    <w:rsid w:val="009F1D98"/>
    <w:rsid w:val="009F6ADC"/>
    <w:rsid w:val="009F6D07"/>
    <w:rsid w:val="00A065C3"/>
    <w:rsid w:val="00A123B4"/>
    <w:rsid w:val="00A12BF0"/>
    <w:rsid w:val="00A45E54"/>
    <w:rsid w:val="00A55422"/>
    <w:rsid w:val="00A55946"/>
    <w:rsid w:val="00A560D9"/>
    <w:rsid w:val="00A57813"/>
    <w:rsid w:val="00A57B1E"/>
    <w:rsid w:val="00A61214"/>
    <w:rsid w:val="00A6194E"/>
    <w:rsid w:val="00A87A9B"/>
    <w:rsid w:val="00A91749"/>
    <w:rsid w:val="00A92517"/>
    <w:rsid w:val="00AA10AA"/>
    <w:rsid w:val="00AA3DDB"/>
    <w:rsid w:val="00AB1182"/>
    <w:rsid w:val="00AB6252"/>
    <w:rsid w:val="00AB7C0B"/>
    <w:rsid w:val="00AD4BF8"/>
    <w:rsid w:val="00AF38AF"/>
    <w:rsid w:val="00B01DC0"/>
    <w:rsid w:val="00B0643A"/>
    <w:rsid w:val="00B07C87"/>
    <w:rsid w:val="00B20CA2"/>
    <w:rsid w:val="00B2172A"/>
    <w:rsid w:val="00B2210D"/>
    <w:rsid w:val="00B33A5D"/>
    <w:rsid w:val="00B348B5"/>
    <w:rsid w:val="00B3561C"/>
    <w:rsid w:val="00B61C15"/>
    <w:rsid w:val="00B6575B"/>
    <w:rsid w:val="00B712AF"/>
    <w:rsid w:val="00B72DF9"/>
    <w:rsid w:val="00B8790B"/>
    <w:rsid w:val="00B90418"/>
    <w:rsid w:val="00B90BCE"/>
    <w:rsid w:val="00B92250"/>
    <w:rsid w:val="00B924CE"/>
    <w:rsid w:val="00BA4071"/>
    <w:rsid w:val="00BA6A92"/>
    <w:rsid w:val="00BB1ACE"/>
    <w:rsid w:val="00BB7A44"/>
    <w:rsid w:val="00BC4E63"/>
    <w:rsid w:val="00BC78D2"/>
    <w:rsid w:val="00BD1243"/>
    <w:rsid w:val="00BD16DA"/>
    <w:rsid w:val="00BD251E"/>
    <w:rsid w:val="00BE47BB"/>
    <w:rsid w:val="00BE6689"/>
    <w:rsid w:val="00BF134E"/>
    <w:rsid w:val="00BF2A48"/>
    <w:rsid w:val="00BF63F6"/>
    <w:rsid w:val="00BF6EBA"/>
    <w:rsid w:val="00C07790"/>
    <w:rsid w:val="00C13F03"/>
    <w:rsid w:val="00C17631"/>
    <w:rsid w:val="00C214AF"/>
    <w:rsid w:val="00C21CB1"/>
    <w:rsid w:val="00C2238D"/>
    <w:rsid w:val="00C30B65"/>
    <w:rsid w:val="00C44EC5"/>
    <w:rsid w:val="00C61FFF"/>
    <w:rsid w:val="00C70139"/>
    <w:rsid w:val="00C74579"/>
    <w:rsid w:val="00C753C2"/>
    <w:rsid w:val="00C76913"/>
    <w:rsid w:val="00C8106B"/>
    <w:rsid w:val="00C90BB4"/>
    <w:rsid w:val="00C9222C"/>
    <w:rsid w:val="00C95FAA"/>
    <w:rsid w:val="00C96AC2"/>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133BB"/>
    <w:rsid w:val="00D23C44"/>
    <w:rsid w:val="00D26A27"/>
    <w:rsid w:val="00D275E1"/>
    <w:rsid w:val="00D32DEF"/>
    <w:rsid w:val="00D4091D"/>
    <w:rsid w:val="00D41AAD"/>
    <w:rsid w:val="00D42B2B"/>
    <w:rsid w:val="00D42F35"/>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30DB"/>
    <w:rsid w:val="00DC5392"/>
    <w:rsid w:val="00DC53BB"/>
    <w:rsid w:val="00DC5F5F"/>
    <w:rsid w:val="00DD0E16"/>
    <w:rsid w:val="00DD25B5"/>
    <w:rsid w:val="00DD2B96"/>
    <w:rsid w:val="00DD2DCF"/>
    <w:rsid w:val="00DD38FE"/>
    <w:rsid w:val="00DE25B3"/>
    <w:rsid w:val="00DF2F9F"/>
    <w:rsid w:val="00E048E4"/>
    <w:rsid w:val="00E104FA"/>
    <w:rsid w:val="00E23B6C"/>
    <w:rsid w:val="00E2442E"/>
    <w:rsid w:val="00E3094D"/>
    <w:rsid w:val="00E42E8A"/>
    <w:rsid w:val="00E5106D"/>
    <w:rsid w:val="00E557B7"/>
    <w:rsid w:val="00E627C0"/>
    <w:rsid w:val="00E70880"/>
    <w:rsid w:val="00E719B1"/>
    <w:rsid w:val="00E76076"/>
    <w:rsid w:val="00E76A91"/>
    <w:rsid w:val="00E77192"/>
    <w:rsid w:val="00E82F61"/>
    <w:rsid w:val="00E839C3"/>
    <w:rsid w:val="00E8493B"/>
    <w:rsid w:val="00E94A86"/>
    <w:rsid w:val="00EA0994"/>
    <w:rsid w:val="00EB11A5"/>
    <w:rsid w:val="00EC01FB"/>
    <w:rsid w:val="00EC4146"/>
    <w:rsid w:val="00EC4224"/>
    <w:rsid w:val="00EC774C"/>
    <w:rsid w:val="00ED0361"/>
    <w:rsid w:val="00ED1FFF"/>
    <w:rsid w:val="00ED3B7A"/>
    <w:rsid w:val="00EE196A"/>
    <w:rsid w:val="00EE33B5"/>
    <w:rsid w:val="00EE6B79"/>
    <w:rsid w:val="00EF0141"/>
    <w:rsid w:val="00EF7F31"/>
    <w:rsid w:val="00F15C62"/>
    <w:rsid w:val="00F25152"/>
    <w:rsid w:val="00F31C25"/>
    <w:rsid w:val="00F35E5B"/>
    <w:rsid w:val="00F41084"/>
    <w:rsid w:val="00F41905"/>
    <w:rsid w:val="00F659AC"/>
    <w:rsid w:val="00F662EB"/>
    <w:rsid w:val="00F70158"/>
    <w:rsid w:val="00F74E6F"/>
    <w:rsid w:val="00F756FD"/>
    <w:rsid w:val="00F7670E"/>
    <w:rsid w:val="00F801E5"/>
    <w:rsid w:val="00F87CCA"/>
    <w:rsid w:val="00F95517"/>
    <w:rsid w:val="00FA0FFF"/>
    <w:rsid w:val="00FA4E54"/>
    <w:rsid w:val="00FB0F7E"/>
    <w:rsid w:val="00FB1F71"/>
    <w:rsid w:val="00FD4885"/>
    <w:rsid w:val="00FD5B86"/>
    <w:rsid w:val="00FE61A9"/>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Wei18</b:Tag>
    <b:SourceType>BookSection</b:SourceType>
    <b:Guid>{A28CFF3E-E957-4FE2-9B17-055244171146}</b:Guid>
    <b:Title>Psychological Ownership in Egocentric Categorization Theory</b:Title>
    <b:Year>2018</b:Year>
    <b:Pages>33-52</b:Pages>
    <b:BookTitle>Psychological Ownership and Consumer Behavior</b:BookTitle>
    <b:City>Los Angeles</b:City>
    <b:Author>
      <b:Author>
        <b:NameList>
          <b:Person>
            <b:Last>Weiss</b:Last>
            <b:First>Liad</b:First>
          </b:Person>
          <b:Person>
            <b:Last>Johar</b:Last>
            <b:First>Gita</b:First>
          </b:Person>
        </b:NameList>
      </b:Author>
      <b:BookAuthor>
        <b:NameList>
          <b:Person>
            <b:Last>Peck</b:Last>
            <b:First>Joann</b:First>
          </b:Person>
          <b:Person>
            <b:Last>Shu</b:Last>
            <b:First>Suzanne</b:First>
          </b:Person>
        </b:NameList>
      </b:BookAuthor>
    </b:Author>
    <b:RefOrder>1</b:RefOrder>
  </b:Source>
  <b:Source>
    <b:Tag>Fus14</b:Tag>
    <b:SourceType>JournalArticle</b:SourceType>
    <b:Guid>{D51498E6-E73B-40E8-B9FD-FF242A6BD6BA}</b:Guid>
    <b:Title>The Endowment Effect</b:Title>
    <b:Year>2014</b:Year>
    <b:Pages>555-579</b:Pages>
    <b:JournalName>The Annual Review of Economics</b:JournalName>
    <b:Author>
      <b:Author>
        <b:NameList>
          <b:Person>
            <b:Last>Fuster</b:Last>
            <b:First>Andreas</b:First>
          </b:Person>
          <b:Person>
            <b:Last>Ericson</b:Last>
            <b:First>Keith</b:First>
          </b:Person>
        </b:NameList>
      </b:Author>
    </b:Author>
    <b:RefOrder>2</b:RefOrder>
  </b:Source>
  <b:Source>
    <b:Tag>Ora20</b:Tag>
    <b:SourceType>JournalArticle</b:SourceType>
    <b:Guid>{9DDE95C9-7836-4079-9418-51EE80F6D9DA}</b:Guid>
    <b:Title>Rethinking ownership</b:Title>
    <b:Year>2020</b:Year>
    <b:Author>
      <b:Author>
        <b:NameList>
          <b:Person>
            <b:Last>Orasmaa</b:Last>
            <b:First>Annina</b:First>
          </b:Person>
          <b:Person>
            <b:Last>Laurila</b:Last>
            <b:First>Louna</b:First>
          </b:Person>
          <b:Person>
            <b:Last>Liimatainen</b:Last>
            <b:First>Henrik</b:First>
          </b:Person>
        </b:NameList>
      </b:Author>
    </b:Author>
    <b:JournalName>Sitra studies</b:JournalName>
    <b:Pages>1-42</b:Pages>
    <b:RefOrder>3</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4</b:RefOrder>
  </b:Source>
  <b:Source>
    <b:Tag>Dic18</b:Tag>
    <b:SourceType>BookSection</b:SourceType>
    <b:Guid>{A605F909-2A48-4351-900A-0E021F2CF174}</b:Guid>
    <b:Title>Trading Under the Influence: The Effects</b:Title>
    <b:Year>2018</b:Year>
    <b:City>Los Angeles</b:City>
    <b:Publisher>Springer</b:Publisher>
    <b:BookTitle>Psychological Ownership and Consumer Behavior</b:BookTitle>
    <b:Pages>145-164</b:Pages>
    <b:Author>
      <b:Author>
        <b:NameList>
          <b:Person>
            <b:Last>Dickert</b:Last>
            <b:First>Stephan</b:First>
          </b:Person>
          <b:Person>
            <b:Last>Ashby</b:Last>
            <b:First>Nathaniel</b:First>
          </b:Person>
          <b:Person>
            <b:Last>Dickert</b:Last>
            <b:First>Andreas</b:First>
          </b:Person>
        </b:NameList>
      </b:Author>
      <b:BookAuthor>
        <b:NameList>
          <b:Person>
            <b:Last>Peck</b:Last>
            <b:First>Joann</b:First>
          </b:Person>
          <b:Person>
            <b:Last>Shu</b:Last>
            <b:First>Suzanne</b:First>
          </b:Person>
        </b:NameList>
      </b:BookAuthor>
    </b:Author>
    <b:RefOrder>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6</b:RefOrder>
  </b:Source>
  <b:Source>
    <b:Tag>Dom13</b:Tag>
    <b:SourceType>JournalArticle</b:SourceType>
    <b:Guid>{03025F64-3407-43A1-A989-9E62DCD7099B}</b:Guid>
    <b:Title>Explaining the Endowment Effect through Ownership: The Role of Identity, Gender, and Self-Threat</b:Title>
    <b:JournalName>Journal of Consumer Research</b:JournalName>
    <b:Year>2013</b:Year>
    <b:Pages>1034-1049</b:Pages>
    <b:Author>
      <b:Author>
        <b:NameList>
          <b:Person>
            <b:Last>Dommer</b:Last>
            <b:First>Sara</b:First>
          </b:Person>
          <b:Person>
            <b:Last>Swaminathan</b:Last>
            <b:First>Vanitha</b:First>
          </b:Person>
        </b:NameList>
      </b:Author>
    </b:Author>
    <b:RefOrder>7</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8</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Dan19</b:Tag>
    <b:SourceType>JournalArticle</b:SourceType>
    <b:Guid>{2EBC657A-A6DA-4365-8CF1-BD7D08FDAFCC}</b:Guid>
    <b:Title>Lead by Example? Custom-Made Examples Created by Close Others Lead Consumers to Make Dissimilar Choices</b:Title>
    <b:JournalName>Journal of Consumer Research</b:JournalName>
    <b:Year>2019</b:Year>
    <b:Pages>750-773</b:Pages>
    <b:Author>
      <b:Author>
        <b:NameList>
          <b:Person>
            <b:Last>D'angelo</b:Last>
            <b:First>Jennifer</b:First>
          </b:Person>
          <b:Person>
            <b:Last>Diehl</b:Last>
            <b:First>Kristin</b:First>
          </b:Person>
          <b:Person>
            <b:Last>Cavanaugh</b:Last>
            <b:First>Lisa</b:First>
          </b:Person>
        </b:NameList>
      </b:Author>
    </b:Author>
    <b:RefOrder>10</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11</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12</b:RefOrder>
  </b:Source>
  <b:Source>
    <b:Tag>Ata17</b:Tag>
    <b:SourceType>JournalArticle</b:SourceType>
    <b:Guid>{6E114D67-D142-4CF3-BD69-C1CA16614AA6}</b:Guid>
    <b:Title>Digital Goods Are Valued Less Than Physical Goods</b:Title>
    <b:Year>2017</b:Year>
    <b:JournalName>Journal of Consumer Research</b:JournalName>
    <b:Pages>1343-1357</b:Pages>
    <b:Author>
      <b:Author>
        <b:NameList>
          <b:Person>
            <b:Last>Atasoy</b:Last>
            <b:First>Ozgun</b:First>
          </b:Person>
          <b:Person>
            <b:Last>Morewedge</b:Last>
            <b:First>Carey</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14</b:RefOrder>
  </b:Source>
  <b:Source>
    <b:Tag>Fra09</b:Tag>
    <b:SourceType>JournalArticle</b:SourceType>
    <b:Guid>{D61C5293-768B-4A36-859A-3990D2D7F5FC}</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15</b:RefOrder>
  </b:Source>
  <b:Source>
    <b:Tag>Jac07</b:Tag>
    <b:SourceType>JournalArticle</b:SourceType>
    <b:Guid>{746F2438-F84F-449E-9F3B-559400C2EFAD}</b:Guid>
    <b:Title>Product Complexity: A Definition and Impacts on Operations</b:Title>
    <b:JournalName>Decision Line</b:JournalName>
    <b:Year>2007</b:Year>
    <b:Pages>6-9, 21</b:Pages>
    <b:Author>
      <b:Author>
        <b:NameList>
          <b:Person>
            <b:Last>Jacobs</b:Last>
            <b:First>Mark</b:First>
          </b:Person>
        </b:NameList>
      </b:Author>
    </b:Author>
    <b:RefOrder>16</b:RefOrder>
  </b:Source>
  <b:Source>
    <b:Tag>Can15</b:Tag>
    <b:SourceType>JournalArticle</b:SourceType>
    <b:Guid>{AE9847AE-5407-4CA9-8585-7963D68A2E29}</b:Guid>
    <b:Title>The moderating effect of product complexity on new product development and supply chain management integration</b:Title>
    <b:JournalName>Production Planning and Control</b:JournalName>
    <b:Year>2015</b:Year>
    <b:Pages>1306-1317</b:Pages>
    <b:Author>
      <b:Author>
        <b:NameList>
          <b:Person>
            <b:Last>Caniato</b:Last>
            <b:First>Federico</b:First>
          </b:Person>
          <b:Person>
            <b:Last>Größler</b:Last>
            <b:First>Andreas</b:First>
          </b:Person>
        </b:NameList>
      </b:Author>
    </b:Author>
    <b:RefOrder>17</b:RefOrder>
  </b:Source>
  <b:Source>
    <b:Tag>Swa01</b:Tag>
    <b:SourceType>JournalArticle</b:SourceType>
    <b:Guid>{795731D1-F03C-4942-A0AF-7416BF488A81}</b:Guid>
    <b:Title>The Influence of Task Complexity on Consumer Choice: A Latent Class Model of Decision Strategy Switching</b:Title>
    <b:Year>2001</b:Year>
    <b:JournalName>JOURNAL OF CONSUMER RESEARCH</b:JournalName>
    <b:Pages>135-148</b:Pages>
    <b:Author>
      <b:Author>
        <b:NameList>
          <b:Person>
            <b:Last>Swait</b:Last>
            <b:First>Joffre</b:First>
          </b:Person>
          <b:Person>
            <b:Last>Adamowicz</b:Last>
            <b:First>Wiktor</b:First>
          </b:Person>
        </b:NameList>
      </b:Author>
    </b:Author>
    <b:RefOrder>18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22</b:RefOrder>
  </b:Source>
  <b:Source>
    <b:Tag>Nor12</b:Tag>
    <b:SourceType>JournalArticle</b:SourceType>
    <b:Guid>{A8D160FC-13CE-4668-87A5-EDB62D222600}</b:Guid>
    <b:Title>The “IKEA Effect”: When Labor Leads to Love</b:Title>
    <b:JournalName>Journal of Consumer Psychology</b:JournalName>
    <b:Year>2012</b:Year>
    <b:Pages>453-460</b:Pages>
    <b:Author>
      <b:Author>
        <b:NameList>
          <b:Person>
            <b:Last>Norton</b:Last>
            <b:First>Michael</b:First>
          </b:Person>
          <b:Person>
            <b:Last>Mochon</b:Last>
            <b:First>Daniel</b:First>
          </b:Person>
          <b:Person>
            <b:Last>Ariely </b:Last>
            <b:First>Dan</b:First>
          </b:Person>
        </b:NameList>
      </b:Author>
    </b:Author>
    <b:RefOrder>23</b:RefOrder>
  </b:Source>
  <b:Source>
    <b:Tag>Pie10</b:Tag>
    <b:SourceType>JournalArticle</b:SourceType>
    <b:Guid>{BAB98539-71D4-42DC-A8D6-C03EB994525B}</b:Guid>
    <b:Title>The Stopping Power of Advertising: Measures and Effects of Visual Complexity</b:Title>
    <b:JournalName>Journal of Marketing</b:JournalName>
    <b:Year>2010</b:Year>
    <b:Pages>48-60</b:Pages>
    <b:Author>
      <b:Author>
        <b:NameList>
          <b:Person>
            <b:Last>Pieters</b:Last>
            <b:First>Rik</b:First>
          </b:Person>
          <b:Person>
            <b:Last>Wedel</b:Last>
            <b:First>Michel</b:First>
          </b:Person>
          <b:Person>
            <b:Last>Batra</b:Last>
            <b:First>Rajeev</b:First>
          </b:Person>
        </b:NameList>
      </b:Author>
    </b:Author>
    <b:RefOrder>24</b:RefOrder>
  </b:Source>
  <b:Source>
    <b:Tag>Low98</b:Tag>
    <b:SourceType>JournalArticle</b:SourceType>
    <b:Guid>{A4F05347-5395-4CBB-B1B9-511CB838C198}</b:Guid>
    <b:Title>The Effects of Syntactic Complexity on Advertising Persuasiveness</b:Title>
    <b:JournalName>Journal of Consumer Psychology</b:JournalName>
    <b:Year>1998</b:Year>
    <b:Pages>187-206</b:Pages>
    <b:Author>
      <b:Author>
        <b:NameList>
          <b:Person>
            <b:Last>Lowrey</b:Last>
            <b:First>Tina</b:First>
          </b:Person>
        </b:NameList>
      </b:Author>
    </b:Author>
    <b:RefOrder>25</b:RefOrder>
  </b:Source>
</b:Sources>
</file>

<file path=customXml/itemProps1.xml><?xml version="1.0" encoding="utf-8"?>
<ds:datastoreItem xmlns:ds="http://schemas.openxmlformats.org/officeDocument/2006/customXml" ds:itemID="{233D767D-9967-4AD1-A7AD-E70BE363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5</cp:revision>
  <cp:lastPrinted>2022-08-11T14:32:00Z</cp:lastPrinted>
  <dcterms:created xsi:type="dcterms:W3CDTF">2022-09-15T09:23:00Z</dcterms:created>
  <dcterms:modified xsi:type="dcterms:W3CDTF">2022-09-15T10:08:00Z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