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pPr>
        <w:pStyle w:val="BodyText"/>
        <w:spacing w:before="1"/>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pPr>
        <w:pStyle w:val="BodyText"/>
        <w:spacing w:before="1"/>
        <w:rPr>
          <w:rFonts w:ascii="Times New Roman"/>
          <w:i/>
          <w:sz w:val="36"/>
        </w:rPr>
      </w:pPr>
    </w:p>
    <w:p w14:paraId="4ADFC479" w14:textId="04006684" w:rsidR="008425BC" w:rsidRPr="008425BC" w:rsidRDefault="008425BC" w:rsidP="008425BC">
      <w:pPr>
        <w:pStyle w:val="BodyText"/>
        <w:numPr>
          <w:ilvl w:val="1"/>
          <w:numId w:val="26"/>
        </w:numPr>
        <w:spacing w:before="1"/>
        <w:rPr>
          <w:rFonts w:ascii="Times New Roman"/>
          <w:i/>
          <w:sz w:val="28"/>
          <w:szCs w:val="17"/>
        </w:rPr>
      </w:pPr>
      <w:r w:rsidRPr="008425BC">
        <w:rPr>
          <w:rFonts w:ascii="Times New Roman"/>
          <w:i/>
          <w:sz w:val="28"/>
          <w:szCs w:val="17"/>
        </w:rPr>
        <w:t>Problem indication</w:t>
      </w:r>
    </w:p>
    <w:p w14:paraId="375321A4" w14:textId="6D443590" w:rsidR="00D55DE4" w:rsidRDefault="004A3C7C" w:rsidP="008425BC">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346BD8">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w:t>
      </w:r>
      <w:r w:rsidR="002D2A6B">
        <w:rPr>
          <w:rFonts w:ascii="Times New Roman" w:hAnsi="Times New Roman"/>
          <w:sz w:val="24"/>
        </w:rPr>
        <w:lastRenderedPageBreak/>
        <w:t>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31D23706" w:rsidR="00D461D6" w:rsidRDefault="00D461D6" w:rsidP="00346BD8">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895B699" w14:textId="30CCC5F3" w:rsidR="00C91A77" w:rsidRDefault="00C91A77" w:rsidP="00346BD8">
      <w:pPr>
        <w:spacing w:before="1" w:line="360" w:lineRule="auto"/>
        <w:ind w:right="117" w:firstLine="720"/>
        <w:jc w:val="both"/>
        <w:rPr>
          <w:rFonts w:ascii="Times New Roman" w:hAnsi="Times New Roman"/>
          <w:sz w:val="24"/>
        </w:rPr>
      </w:pPr>
      <w:r>
        <w:rPr>
          <w:rFonts w:ascii="Times New Roman" w:hAnsi="Times New Roman"/>
          <w:sz w:val="24"/>
        </w:rPr>
        <w:t xml:space="preserve">Nowadays, companies are trying to embrace customization in an attempt to provide unique value to their customer; </w:t>
      </w:r>
      <w:r w:rsidR="008443DF">
        <w:rPr>
          <w:rFonts w:ascii="Times New Roman" w:hAnsi="Times New Roman"/>
          <w:sz w:val="24"/>
        </w:rPr>
        <w:t>nevertheless,</w:t>
      </w:r>
      <w:r>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sidR="008443DF">
        <w:rPr>
          <w:rFonts w:ascii="Times New Roman" w:hAnsi="Times New Roman"/>
          <w:sz w:val="24"/>
        </w:rPr>
        <w:t>. 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p>
    <w:p w14:paraId="36E9DCD0" w14:textId="4EA0A2C6" w:rsidR="0087005E" w:rsidRDefault="00E01EC4" w:rsidP="00346BD8">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w:t>
      </w:r>
      <w:r w:rsidR="006A5DC5">
        <w:rPr>
          <w:rFonts w:ascii="Times New Roman" w:hAnsi="Times New Roman"/>
          <w:sz w:val="24"/>
        </w:rPr>
        <w:t>Mass product customization is much more complex than providing customization in goods towards a reduced consumer group. The first step to ensure the product’s success is assembling the customer specification (). Due to the high level of complexity around mass customization, it is fundamental to address the specific customers desires, within a customization context</w:t>
      </w:r>
      <w:r w:rsidR="00DE4CAB">
        <w:rPr>
          <w:rFonts w:ascii="Times New Roman" w:hAnsi="Times New Roman"/>
          <w:sz w:val="24"/>
        </w:rPr>
        <w:t xml:space="preserve">, in order to make the whole process simpler </w:t>
      </w:r>
    </w:p>
    <w:p w14:paraId="61D56B2B" w14:textId="537D2FC7" w:rsidR="00D461D6" w:rsidRDefault="00D461D6" w:rsidP="00346BD8">
      <w:pPr>
        <w:spacing w:before="1" w:line="360" w:lineRule="auto"/>
        <w:ind w:right="117" w:firstLine="720"/>
        <w:jc w:val="both"/>
        <w:rPr>
          <w:rFonts w:ascii="Times New Roman" w:hAnsi="Times New Roman"/>
          <w:sz w:val="24"/>
        </w:rPr>
      </w:pPr>
    </w:p>
    <w:p w14:paraId="049ED95C" w14:textId="77777777" w:rsidR="00D461D6" w:rsidRDefault="00D461D6" w:rsidP="00346BD8">
      <w:pPr>
        <w:spacing w:before="1" w:line="360" w:lineRule="auto"/>
        <w:ind w:right="117" w:firstLine="720"/>
        <w:jc w:val="both"/>
        <w:rPr>
          <w:rFonts w:ascii="Times New Roman" w:hAnsi="Times New Roman"/>
          <w:sz w:val="24"/>
        </w:rPr>
      </w:pPr>
    </w:p>
    <w:p w14:paraId="7F70110B" w14:textId="74296829"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w:t>
      </w:r>
      <w:r w:rsidR="00390A4C">
        <w:rPr>
          <w:rFonts w:ascii="Times New Roman" w:hAnsi="Times New Roman"/>
          <w:sz w:val="24"/>
        </w:rPr>
        <w:lastRenderedPageBreak/>
        <w:t xml:space="preserve">be fundamental in order to strength psychological ownership and maximize the perceived market value of the products customized by users even if these are not owned by them. </w:t>
      </w:r>
    </w:p>
    <w:p w14:paraId="4F7617F0" w14:textId="530B27D8" w:rsidR="008425BC" w:rsidRDefault="00B56D2B" w:rsidP="008425BC">
      <w:pPr>
        <w:spacing w:before="1" w:line="360" w:lineRule="auto"/>
        <w:ind w:right="117" w:firstLine="720"/>
        <w:jc w:val="both"/>
        <w:rPr>
          <w:rFonts w:ascii="Times New Roman" w:hAnsi="Times New Roman"/>
          <w:sz w:val="24"/>
        </w:rPr>
      </w:pPr>
      <w:r>
        <w:rPr>
          <w:rFonts w:ascii="Times New Roman" w:hAnsi="Times New Roman"/>
          <w:sz w:val="24"/>
        </w:rPr>
        <w:t>In addition, customization s</w:t>
      </w:r>
      <w:r w:rsidR="00643515">
        <w:rPr>
          <w:rFonts w:ascii="Times New Roman" w:hAnsi="Times New Roman"/>
          <w:sz w:val="24"/>
        </w:rPr>
        <w:t xml:space="preserve">tudies have been able to reveal that in fact, customers designing their own products might be willing to pay premium prices </w:t>
      </w:r>
      <w:sdt>
        <w:sdtPr>
          <w:rPr>
            <w:rFonts w:ascii="Times New Roman" w:hAnsi="Times New Roman"/>
            <w:sz w:val="24"/>
          </w:rPr>
          <w:id w:val="-21174324"/>
          <w:citation/>
        </w:sdtPr>
        <w:sdtContent>
          <w:r w:rsidR="00643515">
            <w:rPr>
              <w:rFonts w:ascii="Times New Roman" w:hAnsi="Times New Roman"/>
              <w:sz w:val="24"/>
            </w:rPr>
            <w:fldChar w:fldCharType="begin"/>
          </w:r>
          <w:r w:rsidR="00643515" w:rsidRPr="00643515">
            <w:rPr>
              <w:rFonts w:ascii="Times New Roman" w:hAnsi="Times New Roman"/>
              <w:sz w:val="24"/>
            </w:rPr>
            <w:instrText xml:space="preserve"> CITATION Sch06 \l 9226 </w:instrText>
          </w:r>
          <w:r w:rsidR="00643515">
            <w:rPr>
              <w:rFonts w:ascii="Times New Roman" w:hAnsi="Times New Roman"/>
              <w:sz w:val="24"/>
            </w:rPr>
            <w:fldChar w:fldCharType="separate"/>
          </w:r>
          <w:r w:rsidR="00643515" w:rsidRPr="00643515">
            <w:rPr>
              <w:rFonts w:ascii="Times New Roman" w:hAnsi="Times New Roman"/>
              <w:noProof/>
              <w:sz w:val="24"/>
            </w:rPr>
            <w:t>(Schreier, 2006)</w:t>
          </w:r>
          <w:r w:rsidR="00643515">
            <w:rPr>
              <w:rFonts w:ascii="Times New Roman" w:hAnsi="Times New Roman"/>
              <w:sz w:val="24"/>
            </w:rPr>
            <w:fldChar w:fldCharType="end"/>
          </w:r>
        </w:sdtContent>
      </w:sdt>
      <w:r w:rsidR="00643515">
        <w:rPr>
          <w:rFonts w:ascii="Times New Roman" w:hAnsi="Times New Roman"/>
          <w:sz w:val="24"/>
        </w:rPr>
        <w:t xml:space="preserve">. </w:t>
      </w:r>
      <w:r w:rsidR="00DC2E92">
        <w:rPr>
          <w:rFonts w:ascii="Times New Roman" w:hAnsi="Times New Roman"/>
          <w:sz w:val="24"/>
        </w:rPr>
        <w:t>But the key aspect, that has not been addressed enough so far, is in discovering what variables explain the effect of customization on willingness to pay.</w:t>
      </w: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DD64187"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w:t>
      </w:r>
      <w:r w:rsidR="00831861">
        <w:rPr>
          <w:rFonts w:ascii="Times New Roman" w:hAnsi="Times New Roman"/>
          <w:sz w:val="24"/>
        </w:rPr>
        <w:t xml:space="preserve"> </w:t>
      </w:r>
      <w:r w:rsidR="00FA3E67">
        <w:rPr>
          <w:rFonts w:ascii="Times New Roman" w:hAnsi="Times New Roman"/>
          <w:sz w:val="24"/>
        </w:rPr>
        <w:t xml:space="preserve">used </w:t>
      </w:r>
      <w:r w:rsidR="00FA3E67" w:rsidRPr="003B238D">
        <w:rPr>
          <w:rFonts w:ascii="Times New Roman" w:hAnsi="Times New Roman"/>
          <w:sz w:val="24"/>
        </w:rPr>
        <w:t>to</w:t>
      </w:r>
      <w:r w:rsidRPr="003B238D">
        <w:rPr>
          <w:rFonts w:ascii="Times New Roman" w:hAnsi="Times New Roman"/>
          <w:sz w:val="24"/>
        </w:rPr>
        <w:t xml:space="preserve">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3FF59BF1" w14:textId="4788F151" w:rsidR="00E07D21" w:rsidRDefault="00E07D21" w:rsidP="00E07D21">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 what extent is the willingness to pay affected by the type of features used to customize products?</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5481649" w:rsidR="0086245F" w:rsidRDefault="0086245F">
      <w:pPr>
        <w:pStyle w:val="Heading3"/>
        <w:spacing w:before="1"/>
        <w:jc w:val="both"/>
      </w:pPr>
    </w:p>
    <w:p w14:paraId="1C0A33C8" w14:textId="1151EA1C" w:rsidR="0086245F" w:rsidRPr="00C17778" w:rsidRDefault="0086245F">
      <w:pPr>
        <w:pStyle w:val="Heading3"/>
        <w:spacing w:before="1"/>
        <w:jc w:val="both"/>
        <w:rPr>
          <w:b w:val="0"/>
          <w:bCs w:val="0"/>
        </w:rPr>
      </w:pPr>
      <w:r w:rsidRPr="00C17778">
        <w:rPr>
          <w:b w:val="0"/>
          <w:bCs w:val="0"/>
        </w:rPr>
        <w:t>3.1 Conceptual model</w:t>
      </w:r>
    </w:p>
    <w:p w14:paraId="10C0C3FC" w14:textId="498BDC37" w:rsidR="0086245F" w:rsidRPr="00C17778" w:rsidRDefault="00831861">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151CAB09" wp14:editId="1F28B036">
            <wp:simplePos x="0" y="0"/>
            <wp:positionH relativeFrom="margin">
              <wp:posOffset>514266</wp:posOffset>
            </wp:positionH>
            <wp:positionV relativeFrom="margin">
              <wp:posOffset>6604395</wp:posOffset>
            </wp:positionV>
            <wp:extent cx="511048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328545"/>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lastRenderedPageBreak/>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lastRenderedPageBreak/>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lastRenderedPageBreak/>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 xml:space="preserve">Shu, S., &amp; Peck, J. (2011). Psychological ownership and affective reaction: Emotional attachment process variables and the endowment effect. Journal of Consumer </w:t>
      </w:r>
      <w:r w:rsidRPr="008024AF">
        <w:rPr>
          <w:b w:val="0"/>
          <w:bCs w:val="0"/>
        </w:rPr>
        <w:lastRenderedPageBreak/>
        <w:t>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8043" w14:textId="77777777" w:rsidR="00AF70EA" w:rsidRDefault="00AF70EA">
      <w:r>
        <w:separator/>
      </w:r>
    </w:p>
  </w:endnote>
  <w:endnote w:type="continuationSeparator" w:id="0">
    <w:p w14:paraId="01254A97" w14:textId="77777777" w:rsidR="00AF70EA" w:rsidRDefault="00AF70EA">
      <w:r>
        <w:continuationSeparator/>
      </w:r>
    </w:p>
  </w:endnote>
  <w:endnote w:type="continuationNotice" w:id="1">
    <w:p w14:paraId="57CC1E03" w14:textId="77777777" w:rsidR="00AF70EA" w:rsidRDefault="00AF7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7592" w14:textId="77777777" w:rsidR="00AF70EA" w:rsidRDefault="00AF70EA">
      <w:r>
        <w:separator/>
      </w:r>
    </w:p>
  </w:footnote>
  <w:footnote w:type="continuationSeparator" w:id="0">
    <w:p w14:paraId="00ED1EB2" w14:textId="77777777" w:rsidR="00AF70EA" w:rsidRDefault="00AF70EA">
      <w:r>
        <w:continuationSeparator/>
      </w:r>
    </w:p>
  </w:footnote>
  <w:footnote w:type="continuationNotice" w:id="1">
    <w:p w14:paraId="7AB672F9" w14:textId="77777777" w:rsidR="00AF70EA" w:rsidRDefault="00AF70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2"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7"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2"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3"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7"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9"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0"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3"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4"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6"/>
  </w:num>
  <w:num w:numId="2" w16cid:durableId="1189560116">
    <w:abstractNumId w:val="19"/>
  </w:num>
  <w:num w:numId="3" w16cid:durableId="970406269">
    <w:abstractNumId w:val="12"/>
  </w:num>
  <w:num w:numId="4" w16cid:durableId="1317416629">
    <w:abstractNumId w:val="25"/>
  </w:num>
  <w:num w:numId="5" w16cid:durableId="1037655340">
    <w:abstractNumId w:val="23"/>
  </w:num>
  <w:num w:numId="6" w16cid:durableId="452754310">
    <w:abstractNumId w:val="1"/>
  </w:num>
  <w:num w:numId="7" w16cid:durableId="175115379">
    <w:abstractNumId w:val="11"/>
  </w:num>
  <w:num w:numId="8" w16cid:durableId="1349133973">
    <w:abstractNumId w:val="22"/>
  </w:num>
  <w:num w:numId="9" w16cid:durableId="1775129039">
    <w:abstractNumId w:val="18"/>
  </w:num>
  <w:num w:numId="10" w16cid:durableId="1095441991">
    <w:abstractNumId w:val="13"/>
  </w:num>
  <w:num w:numId="11" w16cid:durableId="273367548">
    <w:abstractNumId w:val="7"/>
  </w:num>
  <w:num w:numId="12" w16cid:durableId="2129162624">
    <w:abstractNumId w:val="3"/>
  </w:num>
  <w:num w:numId="13" w16cid:durableId="132144349">
    <w:abstractNumId w:val="14"/>
  </w:num>
  <w:num w:numId="14" w16cid:durableId="232198309">
    <w:abstractNumId w:val="10"/>
  </w:num>
  <w:num w:numId="15" w16cid:durableId="1434127496">
    <w:abstractNumId w:val="16"/>
  </w:num>
  <w:num w:numId="16" w16cid:durableId="1955937627">
    <w:abstractNumId w:val="24"/>
  </w:num>
  <w:num w:numId="17" w16cid:durableId="919287155">
    <w:abstractNumId w:val="8"/>
  </w:num>
  <w:num w:numId="18" w16cid:durableId="837306438">
    <w:abstractNumId w:val="20"/>
  </w:num>
  <w:num w:numId="19" w16cid:durableId="1099302071">
    <w:abstractNumId w:val="5"/>
  </w:num>
  <w:num w:numId="20" w16cid:durableId="804738839">
    <w:abstractNumId w:val="17"/>
  </w:num>
  <w:num w:numId="21" w16cid:durableId="1892574057">
    <w:abstractNumId w:val="2"/>
  </w:num>
  <w:num w:numId="22" w16cid:durableId="1704211963">
    <w:abstractNumId w:val="4"/>
  </w:num>
  <w:num w:numId="23" w16cid:durableId="1411582221">
    <w:abstractNumId w:val="21"/>
  </w:num>
  <w:num w:numId="24" w16cid:durableId="49889696">
    <w:abstractNumId w:val="15"/>
  </w:num>
  <w:num w:numId="25" w16cid:durableId="1399402109">
    <w:abstractNumId w:val="9"/>
  </w:num>
  <w:num w:numId="26" w16cid:durableId="91439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5298"/>
    <w:rsid w:val="0069574C"/>
    <w:rsid w:val="006973FD"/>
    <w:rsid w:val="006A11A3"/>
    <w:rsid w:val="006A5DC5"/>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2D57"/>
    <w:rsid w:val="00816611"/>
    <w:rsid w:val="00817865"/>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AF70EA"/>
    <w:rsid w:val="00B01DC0"/>
    <w:rsid w:val="00B0643A"/>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F35"/>
    <w:rsid w:val="00D461D6"/>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C0300"/>
    <w:rsid w:val="00FD4885"/>
    <w:rsid w:val="00FD5B86"/>
    <w:rsid w:val="00FE1A09"/>
    <w:rsid w:val="00FE2CF1"/>
    <w:rsid w:val="00FE61A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8</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6</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11</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12</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13</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7</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19</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20</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21</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22</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4</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5</b:RefOrder>
  </b:Source>
</b:Sources>
</file>

<file path=customXml/itemProps1.xml><?xml version="1.0" encoding="utf-8"?>
<ds:datastoreItem xmlns:ds="http://schemas.openxmlformats.org/officeDocument/2006/customXml" ds:itemID="{B8B1F64A-4DA6-4F0D-A080-734E7D28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10</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56</cp:revision>
  <cp:lastPrinted>2022-08-11T14:32:00Z</cp:lastPrinted>
  <dcterms:created xsi:type="dcterms:W3CDTF">2022-09-15T09:23:00Z</dcterms:created>
  <dcterms:modified xsi:type="dcterms:W3CDTF">2022-09-29T14:31:00Z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