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7009D0D9" w14:textId="7ABBF100"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lastRenderedPageBreak/>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w:t>
      </w:r>
      <w:r w:rsidRPr="00527854">
        <w:rPr>
          <w:rFonts w:ascii="Times New Roman" w:hAnsi="Times New Roman"/>
          <w:sz w:val="24"/>
        </w:rPr>
        <w:lastRenderedPageBreak/>
        <w:t>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lastRenderedPageBreak/>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w:t>
      </w:r>
      <w:r w:rsidRPr="00527854">
        <w:rPr>
          <w:rFonts w:ascii="Times New Roman" w:hAnsi="Times New Roman"/>
          <w:sz w:val="24"/>
        </w:rPr>
        <w:lastRenderedPageBreak/>
        <w:t xml:space="preserve">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w:t>
      </w:r>
      <w:r w:rsidR="00180C12">
        <w:rPr>
          <w:rFonts w:ascii="Times New Roman" w:hAnsi="Times New Roman"/>
          <w:sz w:val="24"/>
        </w:rPr>
        <w:lastRenderedPageBreak/>
        <w:t>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p w14:paraId="2F455FC9" w14:textId="1378805B" w:rsidR="00A74F07" w:rsidRDefault="00A74F07" w:rsidP="007B41B7">
      <w:pPr>
        <w:pStyle w:val="Heading3"/>
        <w:spacing w:before="1" w:line="360" w:lineRule="auto"/>
        <w:jc w:val="both"/>
        <w:rPr>
          <w:rFonts w:eastAsia="Arial MT" w:cs="Arial MT"/>
          <w:b w:val="0"/>
          <w:bCs w:val="0"/>
          <w:szCs w:val="22"/>
        </w:rPr>
      </w:pPr>
    </w:p>
    <w:p w14:paraId="10E0F0D6" w14:textId="20840A0D" w:rsidR="00A74F07" w:rsidRDefault="00A74F07" w:rsidP="007B41B7">
      <w:pPr>
        <w:pStyle w:val="Heading3"/>
        <w:spacing w:before="1" w:line="360" w:lineRule="auto"/>
        <w:jc w:val="both"/>
        <w:rPr>
          <w:rFonts w:eastAsia="Arial MT" w:cs="Arial MT"/>
          <w:b w:val="0"/>
          <w:bCs w:val="0"/>
          <w:szCs w:val="22"/>
        </w:rPr>
      </w:pPr>
    </w:p>
    <w:p w14:paraId="04825311" w14:textId="77777777" w:rsidR="00A74F07" w:rsidRDefault="00A74F07" w:rsidP="007B41B7">
      <w:pPr>
        <w:pStyle w:val="Heading3"/>
        <w:spacing w:before="1" w:line="360" w:lineRule="auto"/>
        <w:jc w:val="both"/>
        <w:rPr>
          <w:rFonts w:eastAsia="Arial MT" w:cs="Arial MT"/>
          <w:b w:val="0"/>
          <w:bCs w:val="0"/>
          <w:szCs w:val="22"/>
        </w:rPr>
      </w:pPr>
    </w:p>
    <w:p w14:paraId="2D79399B" w14:textId="3A705D28" w:rsidR="00813EA5" w:rsidRDefault="00813EA5" w:rsidP="00813EA5">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813EA5">
      <w:pPr>
        <w:pStyle w:val="BodyText"/>
        <w:numPr>
          <w:ilvl w:val="1"/>
          <w:numId w:val="26"/>
        </w:numPr>
        <w:spacing w:before="1" w:line="360" w:lineRule="auto"/>
        <w:rPr>
          <w:rFonts w:ascii="Times New Roman"/>
          <w:i/>
          <w:sz w:val="36"/>
        </w:rPr>
      </w:pPr>
      <w:r>
        <w:rPr>
          <w:rFonts w:ascii="Times New Roman"/>
          <w:i/>
          <w:sz w:val="28"/>
          <w:szCs w:val="17"/>
        </w:rPr>
        <w:t>Experiment</w:t>
      </w:r>
    </w:p>
    <w:p w14:paraId="44E1B5C6" w14:textId="0BEDC858" w:rsidR="002E0AEF" w:rsidRDefault="00813EA5" w:rsidP="002E0AEF">
      <w:pPr>
        <w:pStyle w:val="BodyText"/>
        <w:spacing w:before="1" w:line="360" w:lineRule="auto"/>
        <w:jc w:val="both"/>
        <w:rPr>
          <w:rFonts w:ascii="Times New Roman"/>
          <w:iCs/>
          <w:sz w:val="24"/>
          <w:szCs w:val="15"/>
        </w:rPr>
      </w:pPr>
      <w:r>
        <w:rPr>
          <w:rFonts w:ascii="Times New Roman"/>
          <w:iCs/>
          <w:sz w:val="24"/>
          <w:szCs w:val="15"/>
        </w:rPr>
        <w:t>The main target behind this research is to determine the effect of level of customization on willingness to pay and to see if this relationship is explained by the psychological ownership. In additions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2E0AEF">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39EB03AD" w:rsidR="006B11C2" w:rsidRDefault="001C4B3E" w:rsidP="002E0AEF">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 the laboratory experiments and the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41A4C5D0" w:rsidR="00847FC5" w:rsidRDefault="00847FC5" w:rsidP="002E0AEF">
      <w:pPr>
        <w:pStyle w:val="BodyText"/>
        <w:spacing w:before="1" w:line="360" w:lineRule="auto"/>
        <w:jc w:val="both"/>
        <w:rPr>
          <w:rFonts w:ascii="Times New Roman"/>
          <w:iCs/>
          <w:sz w:val="24"/>
          <w:szCs w:val="15"/>
        </w:rPr>
      </w:pPr>
    </w:p>
    <w:p w14:paraId="69459427" w14:textId="4D8C22C8" w:rsidR="00847FC5" w:rsidRPr="0034764C" w:rsidRDefault="005F6A44" w:rsidP="005F6A44">
      <w:pPr>
        <w:pStyle w:val="BodyText"/>
        <w:numPr>
          <w:ilvl w:val="1"/>
          <w:numId w:val="26"/>
        </w:numPr>
        <w:spacing w:before="1" w:line="360" w:lineRule="auto"/>
        <w:rPr>
          <w:rFonts w:ascii="Times New Roman"/>
          <w:i/>
          <w:sz w:val="36"/>
        </w:rPr>
      </w:pPr>
      <w:r>
        <w:rPr>
          <w:rFonts w:ascii="Times New Roman"/>
          <w:i/>
          <w:sz w:val="28"/>
          <w:szCs w:val="17"/>
        </w:rPr>
        <w:lastRenderedPageBreak/>
        <w:t>Experimental design</w:t>
      </w:r>
    </w:p>
    <w:p w14:paraId="419135BE" w14:textId="7F292BB9" w:rsidR="00E3488E" w:rsidRDefault="00E3488E" w:rsidP="00D70E59">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within subject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699233FE" w:rsidR="00A37D92" w:rsidRDefault="00ED6649" w:rsidP="00D70E59">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the experiment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8E17BD4" w14:textId="3992BDE7" w:rsidR="00A14302" w:rsidRDefault="00A14302" w:rsidP="00D70E59">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marketplace</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a 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proofErr w:type="spellStart"/>
      <w:r w:rsidR="00064981">
        <w:rPr>
          <w:rFonts w:ascii="Times New Roman"/>
          <w:iCs/>
          <w:sz w:val="24"/>
          <w:szCs w:val="15"/>
        </w:rPr>
        <w:t>MTurk</w:t>
      </w:r>
      <w:proofErr w:type="spellEnd"/>
      <w:r w:rsidR="00064981">
        <w:rPr>
          <w:rFonts w:ascii="Times New Roman"/>
          <w:iCs/>
          <w:sz w:val="24"/>
          <w:szCs w:val="15"/>
        </w:rPr>
        <w:t xml:space="preserve">; both samples belong to the U.S. </w:t>
      </w:r>
    </w:p>
    <w:p w14:paraId="278F457D" w14:textId="4090A9D4" w:rsidR="0034764C" w:rsidRPr="00261F04" w:rsidRDefault="0079640C" w:rsidP="0034764C">
      <w:pPr>
        <w:pStyle w:val="BodyText"/>
        <w:numPr>
          <w:ilvl w:val="1"/>
          <w:numId w:val="26"/>
        </w:numPr>
        <w:spacing w:before="1" w:line="360" w:lineRule="auto"/>
        <w:rPr>
          <w:rFonts w:ascii="Times New Roman"/>
          <w:i/>
          <w:sz w:val="36"/>
        </w:rPr>
      </w:pPr>
      <w:r>
        <w:rPr>
          <w:rFonts w:ascii="Times New Roman"/>
          <w:i/>
          <w:sz w:val="28"/>
          <w:szCs w:val="17"/>
        </w:rPr>
        <w:t>Manipulation</w:t>
      </w:r>
    </w:p>
    <w:p w14:paraId="49D664FF" w14:textId="1AE2ECC8" w:rsidR="0034764C" w:rsidRPr="0034764C" w:rsidRDefault="0034764C" w:rsidP="0034764C">
      <w:pPr>
        <w:pStyle w:val="BodyText"/>
        <w:spacing w:before="1" w:line="360" w:lineRule="auto"/>
        <w:rPr>
          <w:rFonts w:ascii="Times New Roman"/>
          <w:iCs/>
          <w:sz w:val="24"/>
          <w:szCs w:val="15"/>
        </w:rPr>
      </w:pPr>
      <w:r>
        <w:rPr>
          <w:rFonts w:ascii="Times New Roman"/>
          <w:iCs/>
          <w:sz w:val="24"/>
          <w:szCs w:val="15"/>
        </w:rPr>
        <w:t>A pre-test w</w:t>
      </w:r>
      <w:r w:rsidR="00261F04">
        <w:rPr>
          <w:rFonts w:ascii="Times New Roman"/>
          <w:iCs/>
          <w:sz w:val="24"/>
          <w:szCs w:val="15"/>
        </w:rPr>
        <w:t>ill be</w:t>
      </w:r>
      <w:r>
        <w:rPr>
          <w:rFonts w:ascii="Times New Roman"/>
          <w:iCs/>
          <w:sz w:val="24"/>
          <w:szCs w:val="15"/>
        </w:rPr>
        <w:t xml:space="preserve"> carried out in order to see </w:t>
      </w:r>
      <w:r w:rsidR="000428F6">
        <w:rPr>
          <w:rFonts w:ascii="Times New Roman"/>
          <w:iCs/>
          <w:sz w:val="24"/>
          <w:szCs w:val="15"/>
        </w:rPr>
        <w:t xml:space="preserve">if the participants understand the questions asked along the questionnaire and to see if the manipulation strategy </w:t>
      </w:r>
      <w:r w:rsidR="00261F04">
        <w:rPr>
          <w:rFonts w:ascii="Times New Roman"/>
          <w:iCs/>
          <w:sz w:val="24"/>
          <w:szCs w:val="15"/>
        </w:rPr>
        <w:t>is going to be</w:t>
      </w:r>
      <w:r w:rsidR="000428F6">
        <w:rPr>
          <w:rFonts w:ascii="Times New Roman"/>
          <w:iCs/>
          <w:sz w:val="24"/>
          <w:szCs w:val="15"/>
        </w:rPr>
        <w:t xml:space="preserve"> well adapted and comprehended by participants. </w:t>
      </w:r>
    </w:p>
    <w:p w14:paraId="35D0840B" w14:textId="77777777" w:rsidR="00152EF6" w:rsidRDefault="00152EF6" w:rsidP="00D70E59">
      <w:pPr>
        <w:pStyle w:val="BodyText"/>
        <w:spacing w:before="1" w:line="360" w:lineRule="auto"/>
        <w:jc w:val="both"/>
        <w:rPr>
          <w:rFonts w:ascii="Times New Roman"/>
          <w:iCs/>
          <w:sz w:val="24"/>
          <w:szCs w:val="15"/>
        </w:rPr>
      </w:pPr>
    </w:p>
    <w:p w14:paraId="27EA4A77" w14:textId="081530E7" w:rsidR="001C42E3" w:rsidRDefault="001C42E3" w:rsidP="00D70E59">
      <w:pPr>
        <w:pStyle w:val="BodyText"/>
        <w:spacing w:before="1" w:line="360" w:lineRule="auto"/>
        <w:jc w:val="both"/>
        <w:rPr>
          <w:rFonts w:ascii="Times New Roman"/>
          <w:iCs/>
          <w:sz w:val="24"/>
          <w:szCs w:val="15"/>
        </w:rPr>
      </w:pPr>
      <w:r>
        <w:rPr>
          <w:rFonts w:ascii="Times New Roman"/>
          <w:iCs/>
          <w:sz w:val="24"/>
          <w:szCs w:val="15"/>
        </w:rPr>
        <w:tab/>
        <w:t xml:space="preserve"> </w:t>
      </w:r>
    </w:p>
    <w:p w14:paraId="67DE82FB" w14:textId="5DAAAE32" w:rsidR="00CF776F" w:rsidRPr="00CF776F" w:rsidRDefault="00CF776F" w:rsidP="00CF776F">
      <w:pPr>
        <w:pStyle w:val="BodyText"/>
        <w:numPr>
          <w:ilvl w:val="1"/>
          <w:numId w:val="26"/>
        </w:numPr>
        <w:spacing w:before="1" w:line="360" w:lineRule="auto"/>
        <w:rPr>
          <w:rFonts w:ascii="Times New Roman"/>
          <w:i/>
          <w:sz w:val="36"/>
        </w:rPr>
      </w:pPr>
      <w:r>
        <w:rPr>
          <w:rFonts w:ascii="Times New Roman"/>
          <w:i/>
          <w:sz w:val="28"/>
          <w:szCs w:val="17"/>
        </w:rPr>
        <w:lastRenderedPageBreak/>
        <w:t>Method</w:t>
      </w:r>
    </w:p>
    <w:p w14:paraId="429D1044" w14:textId="0112047C" w:rsidR="00CF776F" w:rsidRPr="009A348C" w:rsidRDefault="002C0A1C" w:rsidP="00CF776F">
      <w:pPr>
        <w:pStyle w:val="BodyText"/>
        <w:numPr>
          <w:ilvl w:val="2"/>
          <w:numId w:val="26"/>
        </w:numPr>
        <w:spacing w:before="1" w:line="360" w:lineRule="auto"/>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21BD18BC" w:rsidR="00CF776F" w:rsidRDefault="00CF776F" w:rsidP="002C0A1C">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five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form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I sense this car its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it is hard for me to think about this car as mine</w:t>
      </w:r>
      <w:r w:rsidR="0079640C">
        <w:rPr>
          <w:rFonts w:ascii="Times New Roman"/>
          <w:iCs/>
          <w:sz w:val="24"/>
          <w:szCs w:val="15"/>
        </w:rPr>
        <w:t xml:space="preserve">; 5. </w:t>
      </w:r>
      <w:r w:rsidR="0079640C" w:rsidRPr="0079640C">
        <w:rPr>
          <w:rFonts w:ascii="Times New Roman"/>
          <w:iCs/>
          <w:sz w:val="24"/>
          <w:szCs w:val="15"/>
        </w:rPr>
        <w:t>this car does not make me feel that it is mine</w:t>
      </w:r>
      <w:r w:rsidR="0079640C">
        <w:rPr>
          <w:rFonts w:ascii="Times New Roman"/>
          <w:iCs/>
          <w:sz w:val="24"/>
          <w:szCs w:val="15"/>
        </w:rPr>
        <w:t xml:space="preserve">. </w:t>
      </w:r>
    </w:p>
    <w:p w14:paraId="6E6AB943" w14:textId="20D3D39A" w:rsidR="002C0A1C" w:rsidRDefault="002C0A1C" w:rsidP="002C0A1C">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than sell their cars, they will just be required to give the amount of money, in U.S dollars, that they are willing to spend in that specific product, after the whole manipulation was done. </w:t>
      </w:r>
      <w:r w:rsidR="009A348C">
        <w:rPr>
          <w:rFonts w:ascii="Times New Roman"/>
          <w:iCs/>
          <w:sz w:val="24"/>
          <w:szCs w:val="15"/>
        </w:rPr>
        <w:t>T</w:t>
      </w:r>
      <w:r>
        <w:rPr>
          <w:rFonts w:ascii="Times New Roman"/>
          <w:iCs/>
          <w:sz w:val="24"/>
          <w:szCs w:val="15"/>
        </w:rPr>
        <w:t>hrough an open question,</w:t>
      </w:r>
      <w:r w:rsidR="009A348C">
        <w:rPr>
          <w:rFonts w:ascii="Times New Roman"/>
          <w:iCs/>
          <w:sz w:val="24"/>
          <w:szCs w:val="15"/>
        </w:rPr>
        <w:t xml:space="preserve"> respondents will be able</w:t>
      </w:r>
      <w:r>
        <w:rPr>
          <w:rFonts w:ascii="Times New Roman"/>
          <w:iCs/>
          <w:sz w:val="24"/>
          <w:szCs w:val="15"/>
        </w:rPr>
        <w:t xml:space="preserve"> to specify th</w:t>
      </w:r>
      <w:r w:rsidR="009A348C">
        <w:rPr>
          <w:rFonts w:ascii="Times New Roman"/>
          <w:iCs/>
          <w:sz w:val="24"/>
          <w:szCs w:val="15"/>
        </w:rPr>
        <w:t xml:space="preserve">eir willingness to pay toward the customized product. </w:t>
      </w:r>
      <w:r>
        <w:rPr>
          <w:rFonts w:ascii="Times New Roman"/>
          <w:iCs/>
          <w:sz w:val="24"/>
          <w:szCs w:val="15"/>
        </w:rPr>
        <w:t xml:space="preserve"> </w:t>
      </w:r>
    </w:p>
    <w:p w14:paraId="60C8C859" w14:textId="77777777" w:rsidR="009A348C" w:rsidRPr="00CF776F" w:rsidRDefault="009A348C" w:rsidP="009A348C">
      <w:pPr>
        <w:pStyle w:val="BodyText"/>
        <w:numPr>
          <w:ilvl w:val="2"/>
          <w:numId w:val="26"/>
        </w:numPr>
        <w:spacing w:before="1" w:line="360" w:lineRule="auto"/>
        <w:rPr>
          <w:rFonts w:ascii="Times New Roman"/>
          <w:i/>
          <w:sz w:val="36"/>
        </w:rPr>
      </w:pPr>
      <w:r>
        <w:rPr>
          <w:rFonts w:ascii="Times New Roman"/>
          <w:i/>
          <w:sz w:val="28"/>
          <w:szCs w:val="17"/>
        </w:rPr>
        <w:t>Covariates</w:t>
      </w:r>
    </w:p>
    <w:p w14:paraId="79698964" w14:textId="7BB52D3C" w:rsidR="009A348C" w:rsidRPr="002C0A1C" w:rsidRDefault="009A348C" w:rsidP="002C0A1C">
      <w:pPr>
        <w:pStyle w:val="BodyText"/>
        <w:spacing w:before="1" w:line="360" w:lineRule="auto"/>
        <w:jc w:val="both"/>
        <w:rPr>
          <w:rFonts w:ascii="Times New Roman"/>
          <w:iCs/>
          <w:sz w:val="24"/>
          <w:szCs w:val="15"/>
        </w:rPr>
      </w:pPr>
      <w:r>
        <w:rPr>
          <w:rFonts w:ascii="Times New Roman"/>
          <w:iCs/>
          <w:sz w:val="24"/>
          <w:szCs w:val="15"/>
        </w:rPr>
        <w:t xml:space="preserve">Given that homogeneity is desired in regards of the location of the participants, </w:t>
      </w:r>
      <w:r w:rsidR="009459BD">
        <w:rPr>
          <w:rFonts w:ascii="Times New Roman"/>
          <w:iCs/>
          <w:sz w:val="24"/>
          <w:szCs w:val="15"/>
        </w:rPr>
        <w:t xml:space="preserve">this is not going to be included as a covariate, rather just 3 variable will be. </w:t>
      </w:r>
    </w:p>
    <w:p w14:paraId="3D4F61D9" w14:textId="642AAE55" w:rsidR="00A37D92" w:rsidRPr="00E3488E" w:rsidRDefault="00A37D92" w:rsidP="00D70E59">
      <w:pPr>
        <w:pStyle w:val="BodyText"/>
        <w:spacing w:before="1" w:line="360" w:lineRule="auto"/>
        <w:jc w:val="both"/>
        <w:rPr>
          <w:rFonts w:ascii="Times New Roman"/>
          <w:iCs/>
          <w:sz w:val="24"/>
          <w:szCs w:val="15"/>
        </w:rPr>
      </w:pPr>
    </w:p>
    <w:p w14:paraId="3172DA72" w14:textId="6BA9FF28" w:rsidR="005F6A44" w:rsidRPr="005F6A44" w:rsidRDefault="005F6A44" w:rsidP="005F6A44">
      <w:pPr>
        <w:pStyle w:val="BodyText"/>
        <w:spacing w:before="1" w:line="360" w:lineRule="auto"/>
        <w:rPr>
          <w:rFonts w:ascii="Times New Roman"/>
          <w:iCs/>
          <w:sz w:val="24"/>
          <w:szCs w:val="15"/>
        </w:rPr>
      </w:pPr>
    </w:p>
    <w:p w14:paraId="2B1A4607" w14:textId="29FD3D88" w:rsidR="00847FC5" w:rsidRDefault="00847FC5" w:rsidP="002E0AEF">
      <w:pPr>
        <w:pStyle w:val="BodyText"/>
        <w:spacing w:before="1" w:line="360" w:lineRule="auto"/>
        <w:jc w:val="both"/>
        <w:rPr>
          <w:rFonts w:ascii="Times New Roman"/>
          <w:iCs/>
          <w:sz w:val="24"/>
          <w:szCs w:val="15"/>
        </w:rPr>
      </w:pPr>
    </w:p>
    <w:p w14:paraId="732E4CB7" w14:textId="77777777" w:rsidR="00847FC5" w:rsidRDefault="00847FC5" w:rsidP="002E0AEF">
      <w:pPr>
        <w:pStyle w:val="BodyText"/>
        <w:spacing w:before="1" w:line="360" w:lineRule="auto"/>
        <w:jc w:val="both"/>
        <w:rPr>
          <w:rFonts w:ascii="Times New Roman"/>
          <w:iCs/>
          <w:sz w:val="24"/>
          <w:szCs w:val="15"/>
        </w:rPr>
      </w:pPr>
    </w:p>
    <w:p w14:paraId="2A7CA7AF" w14:textId="7EFB71EC" w:rsidR="002E0AEF" w:rsidRPr="00813EA5" w:rsidRDefault="002E0AEF" w:rsidP="002E0AEF">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813EA5">
      <w:pPr>
        <w:pStyle w:val="BodyText"/>
        <w:spacing w:before="1" w:line="360" w:lineRule="auto"/>
        <w:rPr>
          <w:rFonts w:ascii="Times New Roman"/>
          <w:i/>
          <w:sz w:val="36"/>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w:t>
            </w:r>
            <w:bookmarkStart w:id="6" w:name="_Hlk118642125"/>
            <w:r w:rsidRPr="00BF2A48">
              <w:rPr>
                <w:rFonts w:ascii="Times New Roman"/>
                <w:color w:val="000000" w:themeColor="text1"/>
                <w:sz w:val="20"/>
                <w:szCs w:val="18"/>
              </w:rPr>
              <w:t xml:space="preserve">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w:t>
            </w:r>
            <w:bookmarkEnd w:id="6"/>
            <w:r w:rsidRPr="00BF2A48">
              <w:rPr>
                <w:rFonts w:ascii="Times New Roman"/>
                <w:color w:val="000000" w:themeColor="text1"/>
                <w:sz w:val="20"/>
                <w:szCs w:val="18"/>
              </w:rPr>
              <w:t xml:space="preserv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(2021). Psychological ownership: implicit and explicit. Current Opinion </w:t>
      </w:r>
      <w:r w:rsidRPr="008024AF">
        <w:rPr>
          <w:b w:val="0"/>
          <w:bCs w:val="0"/>
        </w:rPr>
        <w:lastRenderedPageBreak/>
        <w:t>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4192" w14:textId="77777777" w:rsidR="00B805C3" w:rsidRDefault="00B805C3">
      <w:r>
        <w:separator/>
      </w:r>
    </w:p>
  </w:endnote>
  <w:endnote w:type="continuationSeparator" w:id="0">
    <w:p w14:paraId="1834E61C" w14:textId="77777777" w:rsidR="00B805C3" w:rsidRDefault="00B805C3">
      <w:r>
        <w:continuationSeparator/>
      </w:r>
    </w:p>
  </w:endnote>
  <w:endnote w:type="continuationNotice" w:id="1">
    <w:p w14:paraId="1ED953BC" w14:textId="77777777" w:rsidR="00B805C3" w:rsidRDefault="00B80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40AA" w14:textId="77777777" w:rsidR="00B805C3" w:rsidRDefault="00B805C3">
      <w:r>
        <w:separator/>
      </w:r>
    </w:p>
  </w:footnote>
  <w:footnote w:type="continuationSeparator" w:id="0">
    <w:p w14:paraId="323473F7" w14:textId="77777777" w:rsidR="00B805C3" w:rsidRDefault="00B805C3">
      <w:r>
        <w:continuationSeparator/>
      </w:r>
    </w:p>
  </w:footnote>
  <w:footnote w:type="continuationNotice" w:id="1">
    <w:p w14:paraId="508B7018" w14:textId="77777777" w:rsidR="00B805C3" w:rsidRDefault="00B805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0A1C"/>
    <w:rsid w:val="002C2C0B"/>
    <w:rsid w:val="002C4866"/>
    <w:rsid w:val="002D163E"/>
    <w:rsid w:val="002D2A6B"/>
    <w:rsid w:val="002D2B62"/>
    <w:rsid w:val="002D32F9"/>
    <w:rsid w:val="002D35F4"/>
    <w:rsid w:val="002E0830"/>
    <w:rsid w:val="002E0AEF"/>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E42F7"/>
    <w:rsid w:val="004F0454"/>
    <w:rsid w:val="004F18C5"/>
    <w:rsid w:val="004F19EC"/>
    <w:rsid w:val="004F1C82"/>
    <w:rsid w:val="00500319"/>
    <w:rsid w:val="00500C1C"/>
    <w:rsid w:val="00502FF5"/>
    <w:rsid w:val="005059B4"/>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348C"/>
    <w:rsid w:val="009A5B42"/>
    <w:rsid w:val="009A7EC7"/>
    <w:rsid w:val="009A7ECF"/>
    <w:rsid w:val="009B17B7"/>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5422"/>
    <w:rsid w:val="00A55946"/>
    <w:rsid w:val="00A560D9"/>
    <w:rsid w:val="00A57813"/>
    <w:rsid w:val="00A57B1E"/>
    <w:rsid w:val="00A61214"/>
    <w:rsid w:val="00A6194E"/>
    <w:rsid w:val="00A63949"/>
    <w:rsid w:val="00A63A38"/>
    <w:rsid w:val="00A644B3"/>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65B91"/>
    <w:rsid w:val="00C70139"/>
    <w:rsid w:val="00C74579"/>
    <w:rsid w:val="00C753C2"/>
    <w:rsid w:val="00C76913"/>
    <w:rsid w:val="00C8106B"/>
    <w:rsid w:val="00C83BB3"/>
    <w:rsid w:val="00C85A03"/>
    <w:rsid w:val="00C85BB8"/>
    <w:rsid w:val="00C87C41"/>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23</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22</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39</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40</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41</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42</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43</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44</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45</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47</b:RefOrder>
  </b:Source>
</b:Sources>
</file>

<file path=customXml/itemProps1.xml><?xml version="1.0" encoding="utf-8"?>
<ds:datastoreItem xmlns:ds="http://schemas.openxmlformats.org/officeDocument/2006/customXml" ds:itemID="{33AB9D46-0AE0-4057-AC69-64E4FAA8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20</Pages>
  <Words>6173</Words>
  <Characters>35191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213</cp:revision>
  <cp:lastPrinted>2022-08-11T14:32:00Z</cp:lastPrinted>
  <dcterms:created xsi:type="dcterms:W3CDTF">2022-09-15T09:23:00Z</dcterms:created>
  <dcterms:modified xsi:type="dcterms:W3CDTF">2022-11-06T15:25:00Z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