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B30997">
      <w:pPr>
        <w:pStyle w:val="BodyText"/>
        <w:spacing w:before="1" w:line="360" w:lineRule="auto"/>
        <w:jc w:val="both"/>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B30997">
      <w:pPr>
        <w:pStyle w:val="BodyText"/>
        <w:numPr>
          <w:ilvl w:val="1"/>
          <w:numId w:val="26"/>
        </w:numPr>
        <w:spacing w:before="1" w:line="360" w:lineRule="auto"/>
        <w:jc w:val="both"/>
        <w:rPr>
          <w:rFonts w:ascii="Times New Roman"/>
          <w:i/>
          <w:sz w:val="28"/>
          <w:szCs w:val="17"/>
        </w:rPr>
      </w:pPr>
      <w:r w:rsidRPr="008425BC">
        <w:rPr>
          <w:rFonts w:ascii="Times New Roman"/>
          <w:i/>
          <w:sz w:val="28"/>
          <w:szCs w:val="17"/>
        </w:rPr>
        <w:t>Problem indication</w:t>
      </w:r>
    </w:p>
    <w:p w14:paraId="375321A4" w14:textId="6D443590" w:rsidR="00D55DE4" w:rsidRDefault="004A3C7C" w:rsidP="00B30997">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B30997">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B30997">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B30997">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B30997">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B30997">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B30997">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B30997">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B30997">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B30997">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B30997">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B30997">
      <w:pPr>
        <w:spacing w:before="1" w:line="360" w:lineRule="auto"/>
        <w:ind w:right="117"/>
        <w:jc w:val="both"/>
        <w:rPr>
          <w:rFonts w:ascii="Times New Roman" w:hAnsi="Times New Roman"/>
          <w:sz w:val="24"/>
        </w:rPr>
      </w:pPr>
    </w:p>
    <w:p w14:paraId="51650714" w14:textId="7FF5F649" w:rsidR="00CC457D" w:rsidRDefault="00CC457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Problem statement</w:t>
      </w:r>
    </w:p>
    <w:p w14:paraId="36CF988B" w14:textId="4D738D40" w:rsidR="00680C80" w:rsidRDefault="00680C80" w:rsidP="00B30997">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B30997">
      <w:pPr>
        <w:spacing w:before="1" w:line="360" w:lineRule="auto"/>
        <w:ind w:right="117"/>
        <w:jc w:val="both"/>
        <w:rPr>
          <w:rFonts w:ascii="Times New Roman" w:hAnsi="Times New Roman"/>
          <w:sz w:val="24"/>
        </w:rPr>
      </w:pPr>
    </w:p>
    <w:p w14:paraId="0E481A1C" w14:textId="56402576" w:rsidR="000D43D8" w:rsidRDefault="000D43D8"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questions</w:t>
      </w:r>
    </w:p>
    <w:p w14:paraId="02E40398" w14:textId="7F1E4CA1" w:rsidR="000D43D8"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Theoretical research questions</w:t>
      </w:r>
    </w:p>
    <w:p w14:paraId="486EBFFD" w14:textId="426F67B7" w:rsidR="000D43D8" w:rsidRDefault="000D43D8" w:rsidP="00B30997">
      <w:pPr>
        <w:pStyle w:val="BodyText"/>
        <w:spacing w:before="1" w:line="360" w:lineRule="auto"/>
        <w:jc w:val="both"/>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psychological ownership?</w:t>
      </w:r>
    </w:p>
    <w:p w14:paraId="1F35EA81" w14:textId="70649D69"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product customization?</w:t>
      </w:r>
    </w:p>
    <w:p w14:paraId="11B9CC23" w14:textId="5EF7A8CC"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hedonic feature?</w:t>
      </w:r>
    </w:p>
    <w:p w14:paraId="2E4CF182" w14:textId="5E138A6D"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utilitarian feature?</w:t>
      </w:r>
    </w:p>
    <w:p w14:paraId="03A7B242" w14:textId="2EB25C27"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poor customizable product?</w:t>
      </w:r>
    </w:p>
    <w:p w14:paraId="1C639ACC" w14:textId="01932D45" w:rsidR="004E015D"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Empirical research questions</w:t>
      </w:r>
    </w:p>
    <w:p w14:paraId="68E48BD7" w14:textId="77777777" w:rsidR="00674FEA" w:rsidRDefault="00674FEA" w:rsidP="00B30997">
      <w:pPr>
        <w:pStyle w:val="BodyText"/>
        <w:spacing w:before="1" w:line="360" w:lineRule="auto"/>
        <w:jc w:val="both"/>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B30997">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B30997">
      <w:pPr>
        <w:pStyle w:val="BodyText"/>
        <w:spacing w:before="1" w:line="360" w:lineRule="auto"/>
        <w:jc w:val="both"/>
        <w:rPr>
          <w:rFonts w:ascii="Times New Roman"/>
          <w:i/>
          <w:sz w:val="28"/>
          <w:szCs w:val="17"/>
        </w:rPr>
      </w:pPr>
    </w:p>
    <w:p w14:paraId="10C0C3FC" w14:textId="64B171EF" w:rsidR="0086245F" w:rsidRPr="00A71BEB" w:rsidRDefault="009739E0" w:rsidP="00B30997">
      <w:pPr>
        <w:pStyle w:val="BodyText"/>
        <w:numPr>
          <w:ilvl w:val="2"/>
          <w:numId w:val="26"/>
        </w:numPr>
        <w:spacing w:before="1" w:line="360" w:lineRule="auto"/>
        <w:jc w:val="both"/>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rsidP="00B30997">
      <w:pPr>
        <w:pStyle w:val="Heading3"/>
        <w:spacing w:before="1"/>
        <w:jc w:val="both"/>
        <w:rPr>
          <w:b w:val="0"/>
          <w:bCs w:val="0"/>
        </w:rPr>
      </w:pPr>
    </w:p>
    <w:p w14:paraId="3069F0F5" w14:textId="0440C694" w:rsidR="0086245F" w:rsidRDefault="0086245F" w:rsidP="00B30997">
      <w:pPr>
        <w:pStyle w:val="Heading3"/>
        <w:spacing w:before="1"/>
        <w:jc w:val="both"/>
        <w:rPr>
          <w:b w:val="0"/>
          <w:bCs w:val="0"/>
        </w:rPr>
      </w:pPr>
      <w:r w:rsidRPr="00C17778">
        <w:rPr>
          <w:b w:val="0"/>
          <w:bCs w:val="0"/>
        </w:rPr>
        <w:tab/>
      </w:r>
    </w:p>
    <w:p w14:paraId="0A6AF22F" w14:textId="1760DD4F" w:rsidR="000318FC" w:rsidRDefault="000318FC" w:rsidP="00B30997">
      <w:pPr>
        <w:pStyle w:val="Heading3"/>
        <w:spacing w:before="1" w:line="360" w:lineRule="auto"/>
        <w:jc w:val="both"/>
        <w:rPr>
          <w:rFonts w:eastAsia="Arial MT" w:cs="Arial MT"/>
          <w:b w:val="0"/>
          <w:bCs w:val="0"/>
          <w:szCs w:val="22"/>
        </w:rPr>
      </w:pPr>
    </w:p>
    <w:p w14:paraId="7A16CC94" w14:textId="77777777" w:rsidR="009739E0" w:rsidRDefault="009739E0" w:rsidP="00B30997">
      <w:pPr>
        <w:pStyle w:val="Heading3"/>
        <w:spacing w:before="1" w:line="360" w:lineRule="auto"/>
        <w:jc w:val="both"/>
        <w:rPr>
          <w:rFonts w:eastAsia="Arial MT" w:cs="Arial MT"/>
          <w:b w:val="0"/>
          <w:bCs w:val="0"/>
          <w:szCs w:val="22"/>
        </w:rPr>
      </w:pPr>
    </w:p>
    <w:p w14:paraId="649D689D" w14:textId="5A52541E" w:rsidR="0095065D" w:rsidRDefault="003918EE"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method</w:t>
      </w:r>
    </w:p>
    <w:p w14:paraId="587BE6C4" w14:textId="208BE844" w:rsidR="00625780" w:rsidRDefault="003537C8" w:rsidP="00B30997">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B30997">
      <w:pPr>
        <w:pStyle w:val="Heading3"/>
        <w:spacing w:before="1" w:line="360" w:lineRule="auto"/>
        <w:jc w:val="both"/>
        <w:rPr>
          <w:rFonts w:eastAsia="Arial MT" w:cs="Arial MT"/>
          <w:b w:val="0"/>
          <w:bCs w:val="0"/>
          <w:szCs w:val="22"/>
        </w:rPr>
      </w:pPr>
    </w:p>
    <w:p w14:paraId="4008EB3F" w14:textId="24186ACE" w:rsidR="0095065D" w:rsidRDefault="0095065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Relevance</w:t>
      </w:r>
    </w:p>
    <w:p w14:paraId="6CEDA7F9" w14:textId="77777777" w:rsidR="000318FC" w:rsidRDefault="000318FC" w:rsidP="00B30997">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lastRenderedPageBreak/>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B30997">
      <w:pPr>
        <w:pStyle w:val="BodyText"/>
        <w:spacing w:before="1" w:line="360" w:lineRule="auto"/>
        <w:jc w:val="both"/>
        <w:rPr>
          <w:rFonts w:ascii="Times New Roman"/>
          <w:i/>
          <w:sz w:val="28"/>
          <w:szCs w:val="17"/>
        </w:rPr>
      </w:pPr>
    </w:p>
    <w:p w14:paraId="700B3547" w14:textId="64FE9D80"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Academic relevance</w:t>
      </w:r>
    </w:p>
    <w:p w14:paraId="54E7B804" w14:textId="22528C6F" w:rsidR="00FE1FCF" w:rsidRDefault="00FE1FCF" w:rsidP="00B30997">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B30997">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B30997">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Managerial relevance</w:t>
      </w:r>
    </w:p>
    <w:p w14:paraId="38252287" w14:textId="4EF88E14" w:rsidR="00D43398" w:rsidRDefault="004B6089" w:rsidP="00B30997">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w:t>
      </w:r>
      <w:r>
        <w:rPr>
          <w:rFonts w:ascii="Times New Roman"/>
          <w:iCs/>
          <w:sz w:val="24"/>
          <w:szCs w:val="15"/>
        </w:rPr>
        <w:lastRenderedPageBreak/>
        <w:t xml:space="preserve">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B30997">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B30997">
      <w:pPr>
        <w:pStyle w:val="BodyText"/>
        <w:spacing w:before="1" w:line="360" w:lineRule="auto"/>
        <w:ind w:firstLine="720"/>
        <w:jc w:val="both"/>
        <w:rPr>
          <w:rFonts w:ascii="Times New Roman"/>
          <w:iCs/>
          <w:sz w:val="24"/>
          <w:szCs w:val="15"/>
        </w:rPr>
      </w:pPr>
    </w:p>
    <w:p w14:paraId="422AAA91" w14:textId="0DE3A0ED" w:rsidR="00527854" w:rsidRDefault="00C85A03"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Structure of the thesis</w:t>
      </w:r>
    </w:p>
    <w:p w14:paraId="43D86008" w14:textId="5CAFEFEE" w:rsidR="00C85A03" w:rsidRPr="00C85A03" w:rsidRDefault="00C85A03" w:rsidP="00B30997">
      <w:pPr>
        <w:pStyle w:val="BodyText"/>
        <w:spacing w:before="1" w:line="360" w:lineRule="auto"/>
        <w:jc w:val="both"/>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B30997">
      <w:pPr>
        <w:pStyle w:val="BodyText"/>
        <w:spacing w:before="1" w:line="360" w:lineRule="auto"/>
        <w:jc w:val="both"/>
        <w:rPr>
          <w:rFonts w:ascii="Times New Roman"/>
          <w:iCs/>
          <w:sz w:val="24"/>
          <w:szCs w:val="15"/>
        </w:rPr>
      </w:pPr>
    </w:p>
    <w:p w14:paraId="180C5735" w14:textId="68850FA7" w:rsidR="00810194" w:rsidRDefault="00810194" w:rsidP="00B30997">
      <w:pPr>
        <w:pStyle w:val="Heading3"/>
        <w:spacing w:before="1" w:line="360" w:lineRule="auto"/>
        <w:jc w:val="both"/>
        <w:rPr>
          <w:rFonts w:eastAsia="Arial MT" w:cs="Arial MT"/>
          <w:b w:val="0"/>
          <w:bCs w:val="0"/>
          <w:szCs w:val="22"/>
        </w:rPr>
      </w:pPr>
    </w:p>
    <w:p w14:paraId="53B67B71" w14:textId="1AAA8EF8" w:rsidR="004C150E" w:rsidRDefault="004C150E" w:rsidP="00B30997">
      <w:pPr>
        <w:pStyle w:val="Heading3"/>
        <w:spacing w:before="1" w:line="360" w:lineRule="auto"/>
        <w:jc w:val="both"/>
        <w:rPr>
          <w:rFonts w:eastAsia="Arial MT" w:cs="Arial MT"/>
          <w:b w:val="0"/>
          <w:bCs w:val="0"/>
          <w:szCs w:val="22"/>
        </w:rPr>
      </w:pPr>
    </w:p>
    <w:p w14:paraId="1C3B8FAC" w14:textId="34036937" w:rsidR="004C150E" w:rsidRDefault="004C150E" w:rsidP="00B30997">
      <w:pPr>
        <w:pStyle w:val="Heading3"/>
        <w:spacing w:before="1" w:line="360" w:lineRule="auto"/>
        <w:jc w:val="both"/>
        <w:rPr>
          <w:rFonts w:eastAsia="Arial MT" w:cs="Arial MT"/>
          <w:b w:val="0"/>
          <w:bCs w:val="0"/>
          <w:szCs w:val="22"/>
        </w:rPr>
      </w:pPr>
    </w:p>
    <w:p w14:paraId="01E83182" w14:textId="43C0097D" w:rsidR="004C150E" w:rsidRDefault="004C150E" w:rsidP="00B30997">
      <w:pPr>
        <w:pStyle w:val="Heading3"/>
        <w:spacing w:before="1" w:line="360" w:lineRule="auto"/>
        <w:jc w:val="both"/>
        <w:rPr>
          <w:rFonts w:eastAsia="Arial MT" w:cs="Arial MT"/>
          <w:b w:val="0"/>
          <w:bCs w:val="0"/>
          <w:szCs w:val="22"/>
        </w:rPr>
      </w:pPr>
    </w:p>
    <w:p w14:paraId="3938E245" w14:textId="564D4416" w:rsidR="004C150E" w:rsidRDefault="004C150E" w:rsidP="00B30997">
      <w:pPr>
        <w:pStyle w:val="Heading3"/>
        <w:spacing w:before="1" w:line="360" w:lineRule="auto"/>
        <w:jc w:val="both"/>
        <w:rPr>
          <w:rFonts w:eastAsia="Arial MT" w:cs="Arial MT"/>
          <w:b w:val="0"/>
          <w:bCs w:val="0"/>
          <w:szCs w:val="22"/>
        </w:rPr>
      </w:pPr>
    </w:p>
    <w:p w14:paraId="6D39E3B8" w14:textId="77777777" w:rsidR="004C150E" w:rsidRDefault="004C150E" w:rsidP="00B30997">
      <w:pPr>
        <w:pStyle w:val="Heading3"/>
        <w:spacing w:before="1" w:line="360" w:lineRule="auto"/>
        <w:jc w:val="both"/>
        <w:rPr>
          <w:rFonts w:eastAsia="Arial MT" w:cs="Arial MT"/>
          <w:b w:val="0"/>
          <w:bCs w:val="0"/>
          <w:szCs w:val="22"/>
        </w:rPr>
      </w:pPr>
    </w:p>
    <w:p w14:paraId="6D60E743" w14:textId="3994DC4B" w:rsidR="00810194" w:rsidRDefault="00810194" w:rsidP="00B30997">
      <w:pPr>
        <w:pStyle w:val="Heading3"/>
        <w:spacing w:before="1" w:line="360" w:lineRule="auto"/>
        <w:jc w:val="both"/>
        <w:rPr>
          <w:rFonts w:eastAsia="Arial MT" w:cs="Arial MT"/>
          <w:b w:val="0"/>
          <w:bCs w:val="0"/>
          <w:szCs w:val="22"/>
        </w:rPr>
      </w:pPr>
    </w:p>
    <w:p w14:paraId="1ED3F2E7" w14:textId="441A5099" w:rsidR="00810194" w:rsidRDefault="00810194" w:rsidP="00B30997">
      <w:pPr>
        <w:pStyle w:val="Heading3"/>
        <w:spacing w:before="1" w:line="360" w:lineRule="auto"/>
        <w:jc w:val="both"/>
        <w:rPr>
          <w:rFonts w:eastAsia="Arial MT" w:cs="Arial MT"/>
          <w:b w:val="0"/>
          <w:bCs w:val="0"/>
          <w:szCs w:val="22"/>
        </w:rPr>
      </w:pP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B30997">
      <w:pPr>
        <w:pStyle w:val="BodyText"/>
        <w:spacing w:before="1" w:line="360" w:lineRule="auto"/>
        <w:jc w:val="both"/>
        <w:rPr>
          <w:rFonts w:ascii="Times New Roman"/>
          <w:i/>
          <w:sz w:val="36"/>
        </w:rPr>
      </w:pPr>
    </w:p>
    <w:p w14:paraId="4BC62DDD" w14:textId="461AB553" w:rsidR="00AC5E9B" w:rsidRPr="00AC5E9B" w:rsidRDefault="00AC5E9B" w:rsidP="00B30997">
      <w:pPr>
        <w:pStyle w:val="BodyText"/>
        <w:spacing w:before="1" w:line="360" w:lineRule="auto"/>
        <w:jc w:val="both"/>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B30997">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30997">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w:t>
      </w:r>
      <w:r w:rsidR="00AB534D">
        <w:rPr>
          <w:rFonts w:ascii="Times New Roman" w:hAnsi="Times New Roman"/>
          <w:sz w:val="24"/>
        </w:rPr>
        <w:lastRenderedPageBreak/>
        <w:t>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30997">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30997">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w:t>
      </w:r>
      <w:r w:rsidRPr="00527854">
        <w:rPr>
          <w:rFonts w:ascii="Times New Roman" w:hAnsi="Times New Roman"/>
          <w:sz w:val="24"/>
        </w:rPr>
        <w:lastRenderedPageBreak/>
        <w:t xml:space="preserve">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B3099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B3099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B30997">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B30997">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B30997">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w:t>
      </w:r>
      <w:r>
        <w:rPr>
          <w:b w:val="0"/>
          <w:bCs w:val="0"/>
        </w:rPr>
        <w:lastRenderedPageBreak/>
        <w:t xml:space="preserve">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B30997">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B30997">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B30997">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B30997">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B30997">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B30997">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B30997">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B30997">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B30997">
      <w:pPr>
        <w:spacing w:before="1" w:line="360" w:lineRule="auto"/>
        <w:ind w:right="117"/>
        <w:jc w:val="both"/>
        <w:rPr>
          <w:rFonts w:ascii="Times New Roman" w:hAnsi="Times New Roman"/>
          <w:noProof/>
          <w:sz w:val="24"/>
        </w:rPr>
      </w:pPr>
    </w:p>
    <w:p w14:paraId="6CA8EC88" w14:textId="77777777" w:rsidR="00527854" w:rsidRDefault="00527854" w:rsidP="00B30997">
      <w:pPr>
        <w:pStyle w:val="BodyText"/>
        <w:spacing w:before="1" w:line="360" w:lineRule="auto"/>
        <w:jc w:val="both"/>
        <w:rPr>
          <w:rFonts w:ascii="Times New Roman"/>
          <w:i/>
          <w:sz w:val="28"/>
          <w:szCs w:val="17"/>
        </w:rPr>
      </w:pPr>
    </w:p>
    <w:p w14:paraId="53E21531" w14:textId="77777777" w:rsidR="00527854" w:rsidRDefault="00527854" w:rsidP="00B30997">
      <w:pPr>
        <w:pStyle w:val="BodyText"/>
        <w:spacing w:before="1" w:line="360" w:lineRule="auto"/>
        <w:jc w:val="both"/>
        <w:rPr>
          <w:rFonts w:ascii="Times New Roman"/>
          <w:i/>
          <w:sz w:val="28"/>
          <w:szCs w:val="17"/>
        </w:rPr>
      </w:pPr>
    </w:p>
    <w:p w14:paraId="63EC0EAD" w14:textId="7AAD01EE" w:rsidR="00527854" w:rsidRPr="00527854" w:rsidRDefault="00527854" w:rsidP="00B30997">
      <w:pPr>
        <w:pStyle w:val="BodyText"/>
        <w:spacing w:before="1" w:line="360" w:lineRule="auto"/>
        <w:jc w:val="both"/>
        <w:rPr>
          <w:rFonts w:ascii="Times New Roman"/>
          <w:i/>
          <w:sz w:val="28"/>
          <w:szCs w:val="17"/>
        </w:rPr>
      </w:pPr>
    </w:p>
    <w:p w14:paraId="76F4C4A6" w14:textId="27291495" w:rsidR="00527854" w:rsidRDefault="00527854" w:rsidP="00B30997">
      <w:pPr>
        <w:pStyle w:val="BodyText"/>
        <w:spacing w:before="1" w:line="360" w:lineRule="auto"/>
        <w:jc w:val="both"/>
        <w:rPr>
          <w:rFonts w:ascii="Times New Roman"/>
          <w:i/>
          <w:sz w:val="36"/>
        </w:rPr>
      </w:pPr>
    </w:p>
    <w:p w14:paraId="6E0770C4" w14:textId="77777777" w:rsidR="00527854" w:rsidRPr="00527854" w:rsidRDefault="00527854" w:rsidP="00B30997">
      <w:pPr>
        <w:pStyle w:val="BodyText"/>
        <w:spacing w:before="1" w:line="360" w:lineRule="auto"/>
        <w:jc w:val="both"/>
        <w:rPr>
          <w:rFonts w:ascii="Times New Roman"/>
          <w:i/>
          <w:sz w:val="32"/>
          <w:szCs w:val="19"/>
        </w:rPr>
      </w:pPr>
    </w:p>
    <w:p w14:paraId="4092DEC4" w14:textId="5D78CF3B" w:rsidR="00810194" w:rsidRDefault="00810194" w:rsidP="00B30997">
      <w:pPr>
        <w:pStyle w:val="Heading3"/>
        <w:spacing w:before="1" w:line="360" w:lineRule="auto"/>
        <w:jc w:val="both"/>
        <w:rPr>
          <w:rFonts w:eastAsia="Arial MT" w:cs="Arial MT"/>
          <w:b w:val="0"/>
          <w:bCs w:val="0"/>
          <w:szCs w:val="22"/>
        </w:rPr>
      </w:pPr>
    </w:p>
    <w:p w14:paraId="7EB2F5F4" w14:textId="1C04ADE0" w:rsidR="00810194" w:rsidRDefault="00810194" w:rsidP="00B30997">
      <w:pPr>
        <w:pStyle w:val="Heading3"/>
        <w:spacing w:before="1" w:line="360" w:lineRule="auto"/>
        <w:jc w:val="both"/>
        <w:rPr>
          <w:rFonts w:eastAsia="Arial MT" w:cs="Arial MT"/>
          <w:b w:val="0"/>
          <w:bCs w:val="0"/>
          <w:szCs w:val="22"/>
        </w:rPr>
      </w:pPr>
    </w:p>
    <w:p w14:paraId="7A8F2CD5" w14:textId="61B7EC00" w:rsidR="002E0830" w:rsidRDefault="002E0830" w:rsidP="00B30997">
      <w:pPr>
        <w:pStyle w:val="Heading3"/>
        <w:spacing w:before="1" w:line="360" w:lineRule="auto"/>
        <w:jc w:val="both"/>
        <w:rPr>
          <w:rFonts w:eastAsia="Arial MT" w:cs="Arial MT"/>
          <w:b w:val="0"/>
          <w:bCs w:val="0"/>
          <w:szCs w:val="22"/>
        </w:rPr>
      </w:pPr>
    </w:p>
    <w:p w14:paraId="67E5A951" w14:textId="709D8926" w:rsidR="002E0830" w:rsidRDefault="002E0830" w:rsidP="00B30997">
      <w:pPr>
        <w:pStyle w:val="Heading3"/>
        <w:spacing w:before="1" w:line="360" w:lineRule="auto"/>
        <w:jc w:val="both"/>
        <w:rPr>
          <w:rFonts w:eastAsia="Arial MT" w:cs="Arial MT"/>
          <w:b w:val="0"/>
          <w:bCs w:val="0"/>
          <w:szCs w:val="22"/>
        </w:rPr>
      </w:pPr>
    </w:p>
    <w:p w14:paraId="66A37941" w14:textId="31C1F251" w:rsidR="002E0830" w:rsidRDefault="002E0830" w:rsidP="00B30997">
      <w:pPr>
        <w:pStyle w:val="Heading3"/>
        <w:spacing w:before="1" w:line="360" w:lineRule="auto"/>
        <w:jc w:val="both"/>
        <w:rPr>
          <w:rFonts w:eastAsia="Arial MT" w:cs="Arial MT"/>
          <w:b w:val="0"/>
          <w:bCs w:val="0"/>
          <w:szCs w:val="22"/>
        </w:rPr>
      </w:pPr>
    </w:p>
    <w:p w14:paraId="7879C95E" w14:textId="732F00F9" w:rsidR="002E0F2C" w:rsidRDefault="002E0F2C" w:rsidP="00B30997">
      <w:pPr>
        <w:pStyle w:val="Heading3"/>
        <w:spacing w:before="1" w:line="360" w:lineRule="auto"/>
        <w:jc w:val="both"/>
        <w:rPr>
          <w:rFonts w:eastAsia="Arial MT" w:cs="Arial MT"/>
          <w:b w:val="0"/>
          <w:bCs w:val="0"/>
          <w:szCs w:val="22"/>
        </w:rPr>
      </w:pPr>
    </w:p>
    <w:p w14:paraId="6D454AF6" w14:textId="77777777" w:rsidR="002E0F2C" w:rsidRDefault="002E0F2C" w:rsidP="00B30997">
      <w:pPr>
        <w:pStyle w:val="Heading3"/>
        <w:spacing w:before="1" w:line="360" w:lineRule="auto"/>
        <w:jc w:val="both"/>
        <w:rPr>
          <w:rFonts w:eastAsia="Arial MT" w:cs="Arial MT"/>
          <w:b w:val="0"/>
          <w:bCs w:val="0"/>
          <w:szCs w:val="22"/>
        </w:rPr>
      </w:pPr>
    </w:p>
    <w:p w14:paraId="2F455FC9" w14:textId="1378805B" w:rsidR="00A74F07" w:rsidRDefault="00A74F07" w:rsidP="00B30997">
      <w:pPr>
        <w:pStyle w:val="Heading3"/>
        <w:spacing w:before="1" w:line="360" w:lineRule="auto"/>
        <w:jc w:val="both"/>
        <w:rPr>
          <w:rFonts w:eastAsia="Arial MT" w:cs="Arial MT"/>
          <w:b w:val="0"/>
          <w:bCs w:val="0"/>
          <w:szCs w:val="22"/>
        </w:rPr>
      </w:pPr>
    </w:p>
    <w:p w14:paraId="10E0F0D6" w14:textId="20840A0D" w:rsidR="00A74F07" w:rsidRDefault="00A74F07" w:rsidP="00B30997">
      <w:pPr>
        <w:pStyle w:val="Heading3"/>
        <w:spacing w:before="1" w:line="360" w:lineRule="auto"/>
        <w:jc w:val="both"/>
        <w:rPr>
          <w:rFonts w:eastAsia="Arial MT" w:cs="Arial MT"/>
          <w:b w:val="0"/>
          <w:bCs w:val="0"/>
          <w:szCs w:val="22"/>
        </w:rPr>
      </w:pPr>
    </w:p>
    <w:p w14:paraId="04825311" w14:textId="77777777" w:rsidR="00A74F07" w:rsidRDefault="00A74F07" w:rsidP="00B30997">
      <w:pPr>
        <w:pStyle w:val="Heading3"/>
        <w:spacing w:before="1" w:line="360" w:lineRule="auto"/>
        <w:jc w:val="both"/>
        <w:rPr>
          <w:rFonts w:eastAsia="Arial MT" w:cs="Arial MT"/>
          <w:b w:val="0"/>
          <w:bCs w:val="0"/>
          <w:szCs w:val="22"/>
        </w:rPr>
      </w:pP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80B0559"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level of customization on willingness to pay and to see if this relationship is explained by the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1BD8AAAC"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325049B7" w:rsidR="00847FC5" w:rsidRDefault="00847FC5" w:rsidP="00B30997">
      <w:pPr>
        <w:pStyle w:val="BodyText"/>
        <w:spacing w:before="1" w:line="360" w:lineRule="auto"/>
        <w:jc w:val="both"/>
        <w:rPr>
          <w:rFonts w:ascii="Times New Roman"/>
          <w:iCs/>
          <w:sz w:val="24"/>
          <w:szCs w:val="15"/>
        </w:rPr>
      </w:pP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205F8325"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557FDE1B"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w:t>
      </w:r>
      <w:r w:rsidR="00A54F16">
        <w:rPr>
          <w:rFonts w:ascii="Times New Roman"/>
          <w:iCs/>
          <w:sz w:val="24"/>
          <w:szCs w:val="15"/>
        </w:rPr>
        <w:lastRenderedPageBreak/>
        <w:t xml:space="preserve">in the world just behind China. </w:t>
      </w:r>
    </w:p>
    <w:p w14:paraId="18999E58" w14:textId="15709F7B" w:rsidR="002C2668"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18AA884A"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67654A">
        <w:rPr>
          <w:rFonts w:ascii="Times New Roman"/>
          <w:iCs/>
          <w:sz w:val="24"/>
          <w:szCs w:val="15"/>
        </w:rPr>
        <w:t xml:space="preserve">type of features used to customize products, is also divided in two conditions, hedonic and utilitarian. A pre-test was carried out in order to see if the participants were able to differentiate between both concepts and therefore, to see if the manipulation strategy was going to be well adapted and comprehended.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613B3F52" w14:textId="77777777" w:rsidR="0067654A" w:rsidRDefault="0067654A" w:rsidP="0067654A">
      <w:pPr>
        <w:pStyle w:val="BodyText"/>
        <w:spacing w:before="1" w:line="360" w:lineRule="auto"/>
        <w:ind w:firstLine="720"/>
        <w:jc w:val="both"/>
        <w:rPr>
          <w:rFonts w:ascii="Times New Roman"/>
          <w:iCs/>
          <w:sz w:val="24"/>
          <w:szCs w:val="15"/>
        </w:rPr>
      </w:pPr>
    </w:p>
    <w:p w14:paraId="215CD2E4" w14:textId="33362021"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lastRenderedPageBreak/>
        <w:t>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are able to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391715D0"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Pr>
          <w:rFonts w:ascii="Times New Roman"/>
          <w:iCs/>
          <w:sz w:val="24"/>
          <w:szCs w:val="15"/>
        </w:rPr>
        <w:t xml:space="preserve">in that specific product, after the whole manipulation was done. </w:t>
      </w:r>
      <w:r w:rsidR="00220A90">
        <w:rPr>
          <w:rFonts w:ascii="Times New Roman"/>
          <w:iCs/>
          <w:sz w:val="24"/>
          <w:szCs w:val="15"/>
        </w:rPr>
        <w:t>Initially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w:t>
      </w:r>
      <w:r w:rsidR="005B5517">
        <w:rPr>
          <w:rFonts w:ascii="Times New Roman"/>
          <w:iCs/>
          <w:sz w:val="24"/>
          <w:szCs w:val="15"/>
        </w:rPr>
        <w:lastRenderedPageBreak/>
        <w:t xml:space="preserve">in the measurement of the WTP because </w:t>
      </w:r>
      <w:r w:rsidR="007322F3">
        <w:rPr>
          <w:rFonts w:ascii="Times New Roman"/>
          <w:iCs/>
          <w:sz w:val="24"/>
          <w:szCs w:val="15"/>
        </w:rPr>
        <w:t>instead of evaluating the entire product, it only measures respondent</w:t>
      </w:r>
      <w:r w:rsidR="007322F3">
        <w:rPr>
          <w:rFonts w:ascii="Times New Roman"/>
          <w:iCs/>
          <w:sz w:val="24"/>
          <w:szCs w:val="15"/>
        </w:rPr>
        <w:t>’</w:t>
      </w:r>
      <w:r w:rsidR="007322F3">
        <w:rPr>
          <w:rFonts w:ascii="Times New Roman"/>
          <w:iCs/>
          <w:sz w:val="24"/>
          <w:szCs w:val="15"/>
        </w:rPr>
        <w:t xml:space="preserve">s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09BBAE7"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Given that homogeneity is desired in regard</w:t>
      </w:r>
      <w:r w:rsidR="00C41EF6">
        <w:rPr>
          <w:rFonts w:ascii="Times New Roman"/>
          <w:iCs/>
          <w:sz w:val="24"/>
          <w:szCs w:val="15"/>
        </w:rPr>
        <w:t xml:space="preserve"> to</w:t>
      </w:r>
      <w:r>
        <w:rPr>
          <w:rFonts w:ascii="Times New Roman"/>
          <w:iCs/>
          <w:sz w:val="24"/>
          <w:szCs w:val="15"/>
        </w:rPr>
        <w:t xml:space="preserve"> the location of the participants,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C41EF6">
        <w:rPr>
          <w:rFonts w:ascii="Times New Roman"/>
          <w:iCs/>
          <w:sz w:val="24"/>
          <w:szCs w:val="15"/>
        </w:rPr>
        <w:t xml:space="preserve"> and prior knowledge about cars. </w:t>
      </w:r>
    </w:p>
    <w:p w14:paraId="1ADFDC9B" w14:textId="25997DD5"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115DF59B"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In regard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D189CEF" w:rsidR="001169C1" w:rsidRDefault="001169C1" w:rsidP="00C41EF6">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C41EF6">
        <w:rPr>
          <w:rFonts w:ascii="Times New Roman"/>
          <w:iCs/>
          <w:sz w:val="24"/>
          <w:szCs w:val="15"/>
        </w:rPr>
        <w:t>are</w:t>
      </w:r>
      <w:r>
        <w:rPr>
          <w:rFonts w:ascii="Times New Roman"/>
          <w:iCs/>
          <w:sz w:val="24"/>
          <w:szCs w:val="15"/>
        </w:rPr>
        <w:t xml:space="preserve"> not going to be the same for a person who usually uses its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have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3A397DC3" w14:textId="77777777" w:rsidR="00705819" w:rsidRDefault="00705819" w:rsidP="00B30997">
      <w:pPr>
        <w:pStyle w:val="BodyText"/>
        <w:spacing w:before="1" w:line="360" w:lineRule="auto"/>
        <w:jc w:val="both"/>
        <w:rPr>
          <w:rFonts w:ascii="Times New Roman"/>
          <w:iCs/>
          <w:sz w:val="24"/>
          <w:szCs w:val="15"/>
        </w:rPr>
      </w:pPr>
    </w:p>
    <w:p w14:paraId="69F5D2E1" w14:textId="2361D498"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0926F7F6"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participant were randomly assigned to one of the experimental groups. </w:t>
      </w:r>
      <w:r w:rsidR="00B62652">
        <w:rPr>
          <w:rFonts w:ascii="Times New Roman"/>
          <w:iCs/>
          <w:sz w:val="24"/>
          <w:szCs w:val="15"/>
        </w:rPr>
        <w:t>To assess the randomization, in the study, a one-way ANOVA was performed with gender as the dependent variable. The result produced by this one-way ANOVA confirm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(F(1)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7777777" w:rsidR="000E6316"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6750B3F9" w14:textId="0E0413A7" w:rsidR="000E6316" w:rsidRPr="000E6316"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The first of these assumptions is related </w:t>
      </w:r>
      <w:r w:rsidR="00A8489E">
        <w:rPr>
          <w:rFonts w:ascii="Times New Roman"/>
          <w:iCs/>
          <w:sz w:val="24"/>
          <w:szCs w:val="15"/>
        </w:rPr>
        <w:t>to</w:t>
      </w:r>
      <w:r>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Pr>
          <w:rFonts w:ascii="Times New Roman"/>
          <w:iCs/>
          <w:sz w:val="24"/>
          <w:szCs w:val="15"/>
        </w:rPr>
        <w:t xml:space="preserve">this assessment, a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should be carried out. It is important to recall that the null hypothesis in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(F(1,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742B7B69" w14:textId="34A66B31" w:rsidR="004F6856" w:rsidRPr="004F6856" w:rsidRDefault="004F6856" w:rsidP="004F6856">
      <w:pPr>
        <w:pStyle w:val="BodyText"/>
        <w:spacing w:before="1" w:line="360" w:lineRule="auto"/>
        <w:jc w:val="both"/>
        <w:rPr>
          <w:rFonts w:ascii="Times New Roman"/>
          <w:iCs/>
          <w:sz w:val="24"/>
          <w:szCs w:val="15"/>
        </w:rPr>
      </w:pPr>
    </w:p>
    <w:p w14:paraId="3703495F" w14:textId="77777777" w:rsidR="00916486" w:rsidRPr="00F353DE" w:rsidRDefault="00916486" w:rsidP="00F353DE">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44F046BE" w14:textId="3975BB43" w:rsidR="00085AAB" w:rsidRDefault="006D386D" w:rsidP="00B30997">
      <w:pPr>
        <w:pStyle w:val="Heading3"/>
        <w:jc w:val="both"/>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B30997">
      <w:pPr>
        <w:pStyle w:val="Heading3"/>
        <w:jc w:val="both"/>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rsidP="00B30997">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rsidP="00B30997">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rsidP="00B30997">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rsidP="00B30997">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30997">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Dependent</w:t>
            </w:r>
          </w:p>
        </w:tc>
        <w:tc>
          <w:tcPr>
            <w:tcW w:w="1678" w:type="dxa"/>
          </w:tcPr>
          <w:p w14:paraId="4384908A" w14:textId="6D179C3D" w:rsidR="00BA4071" w:rsidRDefault="00BF2A48" w:rsidP="00B30997">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B30997">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B30997">
      <w:pPr>
        <w:spacing w:before="137" w:line="360" w:lineRule="auto"/>
        <w:ind w:left="200" w:right="115" w:firstLine="520"/>
        <w:jc w:val="both"/>
        <w:rPr>
          <w:rFonts w:ascii="Times New Roman"/>
          <w:color w:val="000000" w:themeColor="text1"/>
          <w:sz w:val="24"/>
        </w:rPr>
      </w:pPr>
    </w:p>
    <w:p w14:paraId="321E3889" w14:textId="55DB647E" w:rsidR="00DB762D" w:rsidRDefault="00D85779"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B30997">
      <w:pPr>
        <w:spacing w:before="137" w:line="360" w:lineRule="auto"/>
        <w:ind w:left="200" w:right="115" w:firstLine="520"/>
        <w:jc w:val="both"/>
        <w:rPr>
          <w:rFonts w:ascii="Times New Roman"/>
          <w:color w:val="000000" w:themeColor="text1"/>
          <w:sz w:val="24"/>
        </w:rPr>
      </w:pPr>
    </w:p>
    <w:p w14:paraId="57520335" w14:textId="0051DE47" w:rsidR="001A1210" w:rsidRDefault="001A1210" w:rsidP="00B30997">
      <w:pPr>
        <w:spacing w:before="137" w:line="360" w:lineRule="auto"/>
        <w:ind w:left="200" w:right="115" w:firstLine="520"/>
        <w:jc w:val="both"/>
        <w:rPr>
          <w:rFonts w:ascii="Times New Roman"/>
          <w:color w:val="000000" w:themeColor="text1"/>
          <w:sz w:val="24"/>
        </w:rPr>
      </w:pPr>
    </w:p>
    <w:p w14:paraId="456E84AA" w14:textId="77777777" w:rsidR="008D11A0" w:rsidRDefault="008D11A0" w:rsidP="00B30997">
      <w:pPr>
        <w:pStyle w:val="Heading3"/>
        <w:spacing w:line="360" w:lineRule="auto"/>
        <w:jc w:val="both"/>
      </w:pPr>
    </w:p>
    <w:p w14:paraId="1241B024" w14:textId="4AAC0CA9" w:rsidR="00085AAB" w:rsidRDefault="006D386D" w:rsidP="00B30997">
      <w:pPr>
        <w:pStyle w:val="Heading3"/>
        <w:spacing w:line="360" w:lineRule="auto"/>
        <w:jc w:val="both"/>
      </w:pPr>
      <w:r>
        <w:t>References/</w:t>
      </w:r>
      <w:proofErr w:type="spellStart"/>
      <w:r>
        <w:t>Referenties</w:t>
      </w:r>
      <w:proofErr w:type="spellEnd"/>
    </w:p>
    <w:p w14:paraId="4E2955CB" w14:textId="77777777" w:rsidR="004F0454" w:rsidRDefault="004F0454" w:rsidP="00B30997">
      <w:pPr>
        <w:pStyle w:val="Heading3"/>
        <w:spacing w:line="360" w:lineRule="auto"/>
        <w:jc w:val="both"/>
      </w:pPr>
    </w:p>
    <w:p w14:paraId="38293932" w14:textId="3630C242" w:rsidR="0005031A" w:rsidRPr="008024AF" w:rsidRDefault="0005031A" w:rsidP="00B30997">
      <w:pPr>
        <w:pStyle w:val="Heading3"/>
        <w:numPr>
          <w:ilvl w:val="0"/>
          <w:numId w:val="25"/>
        </w:numPr>
        <w:jc w:val="both"/>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B30997">
      <w:pPr>
        <w:pStyle w:val="Heading3"/>
        <w:numPr>
          <w:ilvl w:val="0"/>
          <w:numId w:val="25"/>
        </w:numPr>
        <w:jc w:val="both"/>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xml:space="preserve">, C. (2018). Digital Goods Are Valued Less Than Physical </w:t>
      </w:r>
      <w:r w:rsidRPr="008024AF">
        <w:rPr>
          <w:b w:val="0"/>
          <w:bCs w:val="0"/>
        </w:rPr>
        <w:lastRenderedPageBreak/>
        <w:t>Goods. Journal of Consumer Research, 1343-1357.</w:t>
      </w:r>
    </w:p>
    <w:p w14:paraId="7353B491" w14:textId="1292BE74" w:rsidR="0005031A" w:rsidRPr="008024AF" w:rsidRDefault="0005031A" w:rsidP="00B30997">
      <w:pPr>
        <w:pStyle w:val="Heading3"/>
        <w:numPr>
          <w:ilvl w:val="0"/>
          <w:numId w:val="25"/>
        </w:numPr>
        <w:jc w:val="both"/>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B30997">
      <w:pPr>
        <w:pStyle w:val="Heading3"/>
        <w:numPr>
          <w:ilvl w:val="0"/>
          <w:numId w:val="25"/>
        </w:numPr>
        <w:jc w:val="both"/>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B30997">
      <w:pPr>
        <w:pStyle w:val="Heading3"/>
        <w:numPr>
          <w:ilvl w:val="0"/>
          <w:numId w:val="25"/>
        </w:numPr>
        <w:jc w:val="both"/>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B30997">
      <w:pPr>
        <w:pStyle w:val="Heading3"/>
        <w:numPr>
          <w:ilvl w:val="0"/>
          <w:numId w:val="25"/>
        </w:numPr>
        <w:jc w:val="both"/>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B30997">
      <w:pPr>
        <w:pStyle w:val="Heading3"/>
        <w:numPr>
          <w:ilvl w:val="0"/>
          <w:numId w:val="25"/>
        </w:numPr>
        <w:jc w:val="both"/>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B30997">
      <w:pPr>
        <w:pStyle w:val="Heading3"/>
        <w:numPr>
          <w:ilvl w:val="0"/>
          <w:numId w:val="25"/>
        </w:numPr>
        <w:jc w:val="both"/>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B30997">
      <w:pPr>
        <w:pStyle w:val="Heading3"/>
        <w:numPr>
          <w:ilvl w:val="0"/>
          <w:numId w:val="25"/>
        </w:numPr>
        <w:jc w:val="both"/>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B30997">
      <w:pPr>
        <w:pStyle w:val="Heading3"/>
        <w:numPr>
          <w:ilvl w:val="0"/>
          <w:numId w:val="25"/>
        </w:numPr>
        <w:jc w:val="both"/>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B30997">
      <w:pPr>
        <w:pStyle w:val="Heading3"/>
        <w:numPr>
          <w:ilvl w:val="0"/>
          <w:numId w:val="25"/>
        </w:numPr>
        <w:jc w:val="both"/>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B30997">
      <w:pPr>
        <w:pStyle w:val="Heading3"/>
        <w:numPr>
          <w:ilvl w:val="0"/>
          <w:numId w:val="25"/>
        </w:numPr>
        <w:jc w:val="both"/>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B30997">
      <w:pPr>
        <w:pStyle w:val="Heading3"/>
        <w:numPr>
          <w:ilvl w:val="0"/>
          <w:numId w:val="25"/>
        </w:numPr>
        <w:jc w:val="both"/>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B30997">
      <w:pPr>
        <w:pStyle w:val="Heading3"/>
        <w:numPr>
          <w:ilvl w:val="0"/>
          <w:numId w:val="25"/>
        </w:numPr>
        <w:jc w:val="both"/>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B30997">
      <w:pPr>
        <w:pStyle w:val="Heading3"/>
        <w:numPr>
          <w:ilvl w:val="0"/>
          <w:numId w:val="25"/>
        </w:numPr>
        <w:jc w:val="both"/>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9D91" w14:textId="77777777" w:rsidR="00876D98" w:rsidRDefault="00876D98">
      <w:r>
        <w:separator/>
      </w:r>
    </w:p>
  </w:endnote>
  <w:endnote w:type="continuationSeparator" w:id="0">
    <w:p w14:paraId="529E095A" w14:textId="77777777" w:rsidR="00876D98" w:rsidRDefault="00876D98">
      <w:r>
        <w:continuationSeparator/>
      </w:r>
    </w:p>
  </w:endnote>
  <w:endnote w:type="continuationNotice" w:id="1">
    <w:p w14:paraId="1EDA40D0" w14:textId="77777777" w:rsidR="00876D98" w:rsidRDefault="00876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B13A" w14:textId="77777777" w:rsidR="00876D98" w:rsidRDefault="00876D98">
      <w:r>
        <w:separator/>
      </w:r>
    </w:p>
  </w:footnote>
  <w:footnote w:type="continuationSeparator" w:id="0">
    <w:p w14:paraId="31D84E69" w14:textId="77777777" w:rsidR="00876D98" w:rsidRDefault="00876D98">
      <w:r>
        <w:continuationSeparator/>
      </w:r>
    </w:p>
  </w:footnote>
  <w:footnote w:type="continuationNotice" w:id="1">
    <w:p w14:paraId="37AE04C6" w14:textId="77777777" w:rsidR="00876D98" w:rsidRDefault="00876D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A73FE"/>
    <w:rsid w:val="00CB212A"/>
    <w:rsid w:val="00CB2EF3"/>
    <w:rsid w:val="00CB74BE"/>
    <w:rsid w:val="00CC2A98"/>
    <w:rsid w:val="00CC3C1F"/>
    <w:rsid w:val="00CC457D"/>
    <w:rsid w:val="00CC4FE5"/>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2513"/>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30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40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23</b:RefOrder>
  </b:Source>
</b:Sources>
</file>

<file path=customXml/itemProps1.xml><?xml version="1.0" encoding="utf-8"?>
<ds:datastoreItem xmlns:ds="http://schemas.openxmlformats.org/officeDocument/2006/customXml" ds:itemID="{02E3D220-5A9B-45F7-A45B-249C3343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23</Pages>
  <Words>7507</Words>
  <Characters>42790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248</cp:revision>
  <cp:lastPrinted>2022-08-11T14:32:00Z</cp:lastPrinted>
  <dcterms:created xsi:type="dcterms:W3CDTF">2022-09-15T09:23:00Z</dcterms:created>
  <dcterms:modified xsi:type="dcterms:W3CDTF">2022-12-06T15:16:00Z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