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w:t>
      </w:r>
      <w:r w:rsidRPr="00527854">
        <w:rPr>
          <w:rFonts w:ascii="Times New Roman" w:hAnsi="Times New Roman"/>
          <w:sz w:val="24"/>
        </w:rPr>
        <w:lastRenderedPageBreak/>
        <w:t xml:space="preserve">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w:t>
      </w:r>
      <w:r w:rsidR="004A73BE">
        <w:rPr>
          <w:b w:val="0"/>
          <w:bCs w:val="0"/>
        </w:rPr>
        <w:lastRenderedPageBreak/>
        <w:t xml:space="preserve">(vs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w:t>
      </w:r>
      <w:r>
        <w:rPr>
          <w:b w:val="0"/>
          <w:bCs w:val="0"/>
        </w:rPr>
        <w:lastRenderedPageBreak/>
        <w:t xml:space="preserve">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078E694E" w:rsidR="00527854" w:rsidRDefault="00527854" w:rsidP="00527854">
      <w:pPr>
        <w:pStyle w:val="Heading3"/>
        <w:spacing w:before="1" w:line="360" w:lineRule="auto"/>
        <w:ind w:left="1440" w:firstLine="5"/>
        <w:jc w:val="both"/>
        <w:rPr>
          <w:b w:val="0"/>
          <w:bCs w:val="0"/>
        </w:rPr>
      </w:pPr>
      <w:r>
        <w:t xml:space="preserve">H3: </w:t>
      </w:r>
      <w:r w:rsidR="009C02DE" w:rsidRPr="009C02DE">
        <w:rPr>
          <w:b w:val="0"/>
          <w:bCs w:val="0"/>
        </w:rPr>
        <w:t>Highly customizable products will produce a higher willingness to pay than poor customizable products</w:t>
      </w:r>
      <w:r w:rsidR="009C02DE">
        <w:rPr>
          <w:b w:val="0"/>
          <w:bCs w:val="0"/>
        </w:rPr>
        <w:t xml:space="preserve"> and this relationship will be stronger for product customized through hedonic features than products customized through utilitarian ones.</w:t>
      </w:r>
    </w:p>
    <w:p w14:paraId="7C2E7B96" w14:textId="7D1092C3" w:rsidR="00527854" w:rsidRPr="00647056" w:rsidRDefault="00527854" w:rsidP="00527854">
      <w:pPr>
        <w:pStyle w:val="Heading3"/>
        <w:spacing w:before="1" w:line="360" w:lineRule="auto"/>
        <w:ind w:left="1440" w:firstLine="5"/>
        <w:jc w:val="both"/>
        <w:rPr>
          <w:b w:val="0"/>
          <w:bCs w:val="0"/>
        </w:rPr>
      </w:pPr>
      <w:r>
        <w:t xml:space="preserve">H4: </w:t>
      </w:r>
      <w:r w:rsidR="009C02DE" w:rsidRPr="009C02DE">
        <w:rPr>
          <w:b w:val="0"/>
          <w:bCs w:val="0"/>
        </w:rPr>
        <w:t>Highly customizable products will develop a stronger psychological ownership, on customers, than poor customizable products</w:t>
      </w:r>
      <w:r w:rsidR="009C02DE">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lastRenderedPageBreak/>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This effect states that persons tend 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w:t>
      </w:r>
      <w:r w:rsidRPr="00527854">
        <w:rPr>
          <w:rFonts w:ascii="Times New Roman" w:hAnsi="Times New Roman"/>
          <w:sz w:val="24"/>
        </w:rPr>
        <w:lastRenderedPageBreak/>
        <w:t xml:space="preserve">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Highly customizable products will produce a higher willingness to pay than poor customizable products 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286F9598" w:rsidR="002E0830" w:rsidRDefault="002E0830" w:rsidP="007B41B7">
      <w:pPr>
        <w:pStyle w:val="Heading3"/>
        <w:spacing w:before="1" w:line="360" w:lineRule="auto"/>
        <w:jc w:val="both"/>
        <w:rPr>
          <w:rFonts w:eastAsia="Arial MT" w:cs="Arial MT"/>
          <w:b w:val="0"/>
          <w:bCs w:val="0"/>
          <w:szCs w:val="22"/>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w:t>
      </w:r>
      <w:r w:rsidRPr="008024AF">
        <w:rPr>
          <w:b w:val="0"/>
          <w:bCs w:val="0"/>
        </w:rPr>
        <w:lastRenderedPageBreak/>
        <w:t xml:space="preserve">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A877" w14:textId="77777777" w:rsidR="00F40ADA" w:rsidRDefault="00F40ADA">
      <w:r>
        <w:separator/>
      </w:r>
    </w:p>
  </w:endnote>
  <w:endnote w:type="continuationSeparator" w:id="0">
    <w:p w14:paraId="664B13F5" w14:textId="77777777" w:rsidR="00F40ADA" w:rsidRDefault="00F40ADA">
      <w:r>
        <w:continuationSeparator/>
      </w:r>
    </w:p>
  </w:endnote>
  <w:endnote w:type="continuationNotice" w:id="1">
    <w:p w14:paraId="46392098" w14:textId="77777777" w:rsidR="00F40ADA" w:rsidRDefault="00F40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5038" w14:textId="77777777" w:rsidR="00F40ADA" w:rsidRDefault="00F40ADA">
      <w:r>
        <w:separator/>
      </w:r>
    </w:p>
  </w:footnote>
  <w:footnote w:type="continuationSeparator" w:id="0">
    <w:p w14:paraId="273FF5A6" w14:textId="77777777" w:rsidR="00F40ADA" w:rsidRDefault="00F40ADA">
      <w:r>
        <w:continuationSeparator/>
      </w:r>
    </w:p>
  </w:footnote>
  <w:footnote w:type="continuationNotice" w:id="1">
    <w:p w14:paraId="646FF823" w14:textId="77777777" w:rsidR="00F40ADA" w:rsidRDefault="00F40A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404E8"/>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3F78EA"/>
    <w:rsid w:val="0040102B"/>
    <w:rsid w:val="004033B0"/>
    <w:rsid w:val="00403CFF"/>
    <w:rsid w:val="004043FB"/>
    <w:rsid w:val="004101FA"/>
    <w:rsid w:val="004125A4"/>
    <w:rsid w:val="004148A7"/>
    <w:rsid w:val="00414E06"/>
    <w:rsid w:val="004160DB"/>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E42F7"/>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5B42"/>
    <w:rsid w:val="009A7EC7"/>
    <w:rsid w:val="009A7ECF"/>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60D9"/>
    <w:rsid w:val="00A57813"/>
    <w:rsid w:val="00A57B1E"/>
    <w:rsid w:val="00A61214"/>
    <w:rsid w:val="00A6194E"/>
    <w:rsid w:val="00A63949"/>
    <w:rsid w:val="00A675F1"/>
    <w:rsid w:val="00A67C4D"/>
    <w:rsid w:val="00A71BEB"/>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07F37"/>
    <w:rsid w:val="00F11FA4"/>
    <w:rsid w:val="00F15C62"/>
    <w:rsid w:val="00F25152"/>
    <w:rsid w:val="00F27F95"/>
    <w:rsid w:val="00F31C25"/>
    <w:rsid w:val="00F35E5B"/>
    <w:rsid w:val="00F40ADA"/>
    <w:rsid w:val="00F41084"/>
    <w:rsid w:val="00F41905"/>
    <w:rsid w:val="00F449A4"/>
    <w:rsid w:val="00F531B8"/>
    <w:rsid w:val="00F545B3"/>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10</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11</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12</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13</b:RefOrder>
  </b:Source>
</b:Sources>
</file>

<file path=customXml/itemProps1.xml><?xml version="1.0" encoding="utf-8"?>
<ds:datastoreItem xmlns:ds="http://schemas.openxmlformats.org/officeDocument/2006/customXml" ds:itemID="{8A729889-6FE3-419A-B4CC-FDF9950F5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17</Pages>
  <Words>5137</Words>
  <Characters>29283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189</cp:revision>
  <cp:lastPrinted>2022-08-11T14:32:00Z</cp:lastPrinted>
  <dcterms:created xsi:type="dcterms:W3CDTF">2022-09-15T09:23:00Z</dcterms:created>
  <dcterms:modified xsi:type="dcterms:W3CDTF">2022-10-17T09:20:00Z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