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pPr>
        <w:pStyle w:val="BodyText"/>
        <w:spacing w:before="1"/>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pPr>
        <w:pStyle w:val="BodyText"/>
        <w:spacing w:before="1"/>
        <w:rPr>
          <w:rFonts w:ascii="Times New Roman"/>
          <w:i/>
          <w:sz w:val="36"/>
        </w:rPr>
      </w:pPr>
    </w:p>
    <w:p w14:paraId="4ADFC479" w14:textId="04006684" w:rsidR="008425BC" w:rsidRPr="008425BC" w:rsidRDefault="008425BC" w:rsidP="008425BC">
      <w:pPr>
        <w:pStyle w:val="BodyText"/>
        <w:numPr>
          <w:ilvl w:val="1"/>
          <w:numId w:val="26"/>
        </w:numPr>
        <w:spacing w:before="1"/>
        <w:rPr>
          <w:rFonts w:ascii="Times New Roman"/>
          <w:i/>
          <w:sz w:val="28"/>
          <w:szCs w:val="17"/>
        </w:rPr>
      </w:pPr>
      <w:r w:rsidRPr="008425BC">
        <w:rPr>
          <w:rFonts w:ascii="Times New Roman"/>
          <w:i/>
          <w:sz w:val="28"/>
          <w:szCs w:val="17"/>
        </w:rPr>
        <w:t>Problem indication</w:t>
      </w:r>
    </w:p>
    <w:p w14:paraId="375321A4" w14:textId="6D443590" w:rsidR="00D55DE4" w:rsidRDefault="004A3C7C" w:rsidP="008425BC">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346BD8">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w:t>
      </w:r>
      <w:r w:rsidR="002D2A6B">
        <w:rPr>
          <w:rFonts w:ascii="Times New Roman" w:hAnsi="Times New Roman"/>
          <w:sz w:val="24"/>
        </w:rPr>
        <w:lastRenderedPageBreak/>
        <w:t>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346BD8">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346BD8">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346BD8">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346BD8">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w:t>
      </w:r>
      <w:r w:rsidR="000C17DB">
        <w:rPr>
          <w:rFonts w:ascii="Times New Roman" w:hAnsi="Times New Roman"/>
          <w:sz w:val="24"/>
        </w:rPr>
        <w:lastRenderedPageBreak/>
        <w:t xml:space="preserve">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346BD8">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346BD8">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346BD8">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44BBD190" w:rsidR="008425BC" w:rsidRDefault="004B5489" w:rsidP="008425BC">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B56D2B">
        <w:rPr>
          <w:rFonts w:ascii="Times New Roman" w:hAnsi="Times New Roman"/>
          <w:sz w:val="24"/>
        </w:rPr>
        <w:t xml:space="preserve">In addition, </w:t>
      </w:r>
      <w:r w:rsidR="0010352D">
        <w:rPr>
          <w:rFonts w:ascii="Times New Roman" w:hAnsi="Times New Roman"/>
          <w:sz w:val="24"/>
        </w:rPr>
        <w:t xml:space="preserve">a </w:t>
      </w:r>
      <w:r w:rsidR="00DC2E92">
        <w:rPr>
          <w:rFonts w:ascii="Times New Roman" w:hAnsi="Times New Roman"/>
          <w:sz w:val="24"/>
        </w:rPr>
        <w:t>key aspect, that has not been addressed enough so far, is in discovering what variables explain the effect of customization on willingness to pay.</w:t>
      </w:r>
      <w:r w:rsidR="0010352D">
        <w:rPr>
          <w:rFonts w:ascii="Times New Roman" w:hAnsi="Times New Roman"/>
          <w:sz w:val="24"/>
        </w:rPr>
        <w:t xml:space="preserve"> The overall purpose of this research is to contribute to find answers to the problems, questions </w:t>
      </w:r>
      <w:r w:rsidR="0010352D">
        <w:rPr>
          <w:rFonts w:ascii="Times New Roman" w:hAnsi="Times New Roman"/>
          <w:sz w:val="24"/>
        </w:rPr>
        <w:lastRenderedPageBreak/>
        <w:t xml:space="preserve">and uncertainties describe above. </w:t>
      </w:r>
    </w:p>
    <w:p w14:paraId="205C73D9" w14:textId="15D4FE30" w:rsidR="00FB739F" w:rsidRDefault="00FB739F" w:rsidP="008425BC">
      <w:pPr>
        <w:spacing w:before="1" w:line="360" w:lineRule="auto"/>
        <w:ind w:right="117" w:firstLine="720"/>
        <w:jc w:val="both"/>
        <w:rPr>
          <w:rFonts w:ascii="Times New Roman" w:hAnsi="Times New Roman"/>
          <w:sz w:val="24"/>
        </w:rPr>
      </w:pPr>
    </w:p>
    <w:p w14:paraId="27282D50" w14:textId="4B5F208A" w:rsidR="00FB739F" w:rsidRDefault="00FB739F" w:rsidP="008425BC">
      <w:pPr>
        <w:spacing w:before="1" w:line="360" w:lineRule="auto"/>
        <w:ind w:right="117" w:firstLine="720"/>
        <w:jc w:val="both"/>
        <w:rPr>
          <w:rFonts w:ascii="Times New Roman" w:hAnsi="Times New Roman"/>
          <w:sz w:val="24"/>
        </w:rPr>
      </w:pPr>
    </w:p>
    <w:p w14:paraId="1B703D1B" w14:textId="77777777" w:rsidR="00FB739F" w:rsidRDefault="00FB739F" w:rsidP="008425BC">
      <w:pPr>
        <w:spacing w:before="1"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DD64187"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w:t>
      </w:r>
      <w:r w:rsidR="00831861">
        <w:rPr>
          <w:rFonts w:ascii="Times New Roman" w:hAnsi="Times New Roman"/>
          <w:sz w:val="24"/>
        </w:rPr>
        <w:t xml:space="preserve"> </w:t>
      </w:r>
      <w:r w:rsidR="00FA3E67">
        <w:rPr>
          <w:rFonts w:ascii="Times New Roman" w:hAnsi="Times New Roman"/>
          <w:sz w:val="24"/>
        </w:rPr>
        <w:t xml:space="preserve">used </w:t>
      </w:r>
      <w:r w:rsidR="00FA3E67" w:rsidRPr="003B238D">
        <w:rPr>
          <w:rFonts w:ascii="Times New Roman" w:hAnsi="Times New Roman"/>
          <w:sz w:val="24"/>
        </w:rPr>
        <w:t>to</w:t>
      </w:r>
      <w:r w:rsidRPr="003B238D">
        <w:rPr>
          <w:rFonts w:ascii="Times New Roman" w:hAnsi="Times New Roman"/>
          <w:sz w:val="24"/>
        </w:rPr>
        <w:t xml:space="preserve">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3FF59BF1" w14:textId="4788F151" w:rsidR="00E07D21" w:rsidRDefault="00E07D21" w:rsidP="00E07D21">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 what extent is the willingness to pay affected by the type of features used to customize products?</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5481649" w:rsidR="0086245F" w:rsidRDefault="0086245F">
      <w:pPr>
        <w:pStyle w:val="Heading3"/>
        <w:spacing w:before="1"/>
        <w:jc w:val="both"/>
      </w:pPr>
    </w:p>
    <w:p w14:paraId="1C0A33C8" w14:textId="1151EA1C" w:rsidR="0086245F" w:rsidRPr="00C17778" w:rsidRDefault="0086245F">
      <w:pPr>
        <w:pStyle w:val="Heading3"/>
        <w:spacing w:before="1"/>
        <w:jc w:val="both"/>
        <w:rPr>
          <w:b w:val="0"/>
          <w:bCs w:val="0"/>
        </w:rPr>
      </w:pPr>
      <w:r w:rsidRPr="00C17778">
        <w:rPr>
          <w:b w:val="0"/>
          <w:bCs w:val="0"/>
        </w:rPr>
        <w:t>3.1 Conceptual model</w:t>
      </w:r>
    </w:p>
    <w:p w14:paraId="10C0C3FC" w14:textId="498BDC37" w:rsidR="0086245F" w:rsidRPr="00C17778" w:rsidRDefault="00831861">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151CAB09" wp14:editId="1F28B036">
            <wp:simplePos x="0" y="0"/>
            <wp:positionH relativeFrom="margin">
              <wp:posOffset>514266</wp:posOffset>
            </wp:positionH>
            <wp:positionV relativeFrom="margin">
              <wp:posOffset>6604395</wp:posOffset>
            </wp:positionV>
            <wp:extent cx="511048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328545"/>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lastRenderedPageBreak/>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lastRenderedPageBreak/>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 xml:space="preserve">Shu, S., &amp; Peck, J. (2011). Psychological ownership and affective reaction: Emotional attachment process variables and the endowment effect. Journal of Consumer </w:t>
      </w:r>
      <w:r w:rsidRPr="008024AF">
        <w:rPr>
          <w:b w:val="0"/>
          <w:bCs w:val="0"/>
        </w:rPr>
        <w:lastRenderedPageBreak/>
        <w:t>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BE2D" w14:textId="77777777" w:rsidR="00C0129C" w:rsidRDefault="00C0129C">
      <w:r>
        <w:separator/>
      </w:r>
    </w:p>
  </w:endnote>
  <w:endnote w:type="continuationSeparator" w:id="0">
    <w:p w14:paraId="242C1226" w14:textId="77777777" w:rsidR="00C0129C" w:rsidRDefault="00C0129C">
      <w:r>
        <w:continuationSeparator/>
      </w:r>
    </w:p>
  </w:endnote>
  <w:endnote w:type="continuationNotice" w:id="1">
    <w:p w14:paraId="0B96D896" w14:textId="77777777" w:rsidR="00C0129C" w:rsidRDefault="00C01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CFAF0" w14:textId="77777777" w:rsidR="00C0129C" w:rsidRDefault="00C0129C">
      <w:r>
        <w:separator/>
      </w:r>
    </w:p>
  </w:footnote>
  <w:footnote w:type="continuationSeparator" w:id="0">
    <w:p w14:paraId="262CC333" w14:textId="77777777" w:rsidR="00C0129C" w:rsidRDefault="00C0129C">
      <w:r>
        <w:continuationSeparator/>
      </w:r>
    </w:p>
  </w:footnote>
  <w:footnote w:type="continuationNotice" w:id="1">
    <w:p w14:paraId="7D03D856" w14:textId="77777777" w:rsidR="00C0129C" w:rsidRDefault="00C012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2"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7"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2"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3"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7"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9"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0"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3"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4"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6"/>
  </w:num>
  <w:num w:numId="2" w16cid:durableId="1189560116">
    <w:abstractNumId w:val="19"/>
  </w:num>
  <w:num w:numId="3" w16cid:durableId="970406269">
    <w:abstractNumId w:val="12"/>
  </w:num>
  <w:num w:numId="4" w16cid:durableId="1317416629">
    <w:abstractNumId w:val="25"/>
  </w:num>
  <w:num w:numId="5" w16cid:durableId="1037655340">
    <w:abstractNumId w:val="23"/>
  </w:num>
  <w:num w:numId="6" w16cid:durableId="452754310">
    <w:abstractNumId w:val="1"/>
  </w:num>
  <w:num w:numId="7" w16cid:durableId="175115379">
    <w:abstractNumId w:val="11"/>
  </w:num>
  <w:num w:numId="8" w16cid:durableId="1349133973">
    <w:abstractNumId w:val="22"/>
  </w:num>
  <w:num w:numId="9" w16cid:durableId="1775129039">
    <w:abstractNumId w:val="18"/>
  </w:num>
  <w:num w:numId="10" w16cid:durableId="1095441991">
    <w:abstractNumId w:val="13"/>
  </w:num>
  <w:num w:numId="11" w16cid:durableId="273367548">
    <w:abstractNumId w:val="7"/>
  </w:num>
  <w:num w:numId="12" w16cid:durableId="2129162624">
    <w:abstractNumId w:val="3"/>
  </w:num>
  <w:num w:numId="13" w16cid:durableId="132144349">
    <w:abstractNumId w:val="14"/>
  </w:num>
  <w:num w:numId="14" w16cid:durableId="232198309">
    <w:abstractNumId w:val="10"/>
  </w:num>
  <w:num w:numId="15" w16cid:durableId="1434127496">
    <w:abstractNumId w:val="16"/>
  </w:num>
  <w:num w:numId="16" w16cid:durableId="1955937627">
    <w:abstractNumId w:val="24"/>
  </w:num>
  <w:num w:numId="17" w16cid:durableId="919287155">
    <w:abstractNumId w:val="8"/>
  </w:num>
  <w:num w:numId="18" w16cid:durableId="837306438">
    <w:abstractNumId w:val="20"/>
  </w:num>
  <w:num w:numId="19" w16cid:durableId="1099302071">
    <w:abstractNumId w:val="5"/>
  </w:num>
  <w:num w:numId="20" w16cid:durableId="804738839">
    <w:abstractNumId w:val="17"/>
  </w:num>
  <w:num w:numId="21" w16cid:durableId="1892574057">
    <w:abstractNumId w:val="2"/>
  </w:num>
  <w:num w:numId="22" w16cid:durableId="1704211963">
    <w:abstractNumId w:val="4"/>
  </w:num>
  <w:num w:numId="23" w16cid:durableId="1411582221">
    <w:abstractNumId w:val="21"/>
  </w:num>
  <w:num w:numId="24" w16cid:durableId="49889696">
    <w:abstractNumId w:val="15"/>
  </w:num>
  <w:num w:numId="25" w16cid:durableId="1399402109">
    <w:abstractNumId w:val="9"/>
  </w:num>
  <w:num w:numId="26" w16cid:durableId="91439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C17DB"/>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773A4"/>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09C1"/>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43F1"/>
    <w:rsid w:val="00755F94"/>
    <w:rsid w:val="00760030"/>
    <w:rsid w:val="00761922"/>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730C"/>
    <w:rsid w:val="009D399D"/>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84D1A"/>
    <w:rsid w:val="00A87A9B"/>
    <w:rsid w:val="00A91749"/>
    <w:rsid w:val="00A92517"/>
    <w:rsid w:val="00AA10AA"/>
    <w:rsid w:val="00AA3DDB"/>
    <w:rsid w:val="00AB1182"/>
    <w:rsid w:val="00AB6252"/>
    <w:rsid w:val="00AB7C0B"/>
    <w:rsid w:val="00AD4BF8"/>
    <w:rsid w:val="00AD51E3"/>
    <w:rsid w:val="00AF38AF"/>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129C"/>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B74BE"/>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B739F"/>
    <w:rsid w:val="00FC0300"/>
    <w:rsid w:val="00FD4885"/>
    <w:rsid w:val="00FD5B86"/>
    <w:rsid w:val="00FE1A09"/>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s>
</file>

<file path=customXml/itemProps1.xml><?xml version="1.0" encoding="utf-8"?>
<ds:datastoreItem xmlns:ds="http://schemas.openxmlformats.org/officeDocument/2006/customXml" ds:itemID="{F791AABD-3D31-4B66-9B30-F0577350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11</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74</cp:revision>
  <cp:lastPrinted>2022-08-11T14:32:00Z</cp:lastPrinted>
  <dcterms:created xsi:type="dcterms:W3CDTF">2022-09-15T09:23:00Z</dcterms:created>
  <dcterms:modified xsi:type="dcterms:W3CDTF">2022-09-30T09:26:00Z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