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1B63C7" w:rsidP="00566393">
      <w:r>
        <w:t>19101008</w:t>
      </w:r>
    </w:p>
    <w:p w:rsidR="00CE0A63" w:rsidRDefault="00CE0A63" w:rsidP="00CE0A63">
      <w:pPr>
        <w:pStyle w:val="Ttulo1"/>
      </w:pPr>
      <w:r>
        <w:t>Nombre</w:t>
      </w:r>
    </w:p>
    <w:p w:rsidR="00CE0A63" w:rsidRDefault="001B63C7" w:rsidP="00CE0A63">
      <w:r w:rsidRPr="001B63C7">
        <w:t>Valoración ácido - base Ácido débil y base fuerte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1B63C7" w:rsidRDefault="001B63C7" w:rsidP="001B63C7">
      <w:pPr>
        <w:pStyle w:val="Prrafodelista"/>
        <w:numPr>
          <w:ilvl w:val="0"/>
          <w:numId w:val="10"/>
        </w:numPr>
      </w:pPr>
      <w:r>
        <w:t>Determinar el cambio de pH en una reacción de ácido débil y base fuerte.</w:t>
      </w:r>
    </w:p>
    <w:p w:rsidR="00B41943" w:rsidRDefault="001B63C7" w:rsidP="001B63C7">
      <w:pPr>
        <w:pStyle w:val="Prrafodelista"/>
        <w:numPr>
          <w:ilvl w:val="0"/>
          <w:numId w:val="10"/>
        </w:numPr>
      </w:pPr>
      <w:r>
        <w:t>Determinar experimentalmente la concentración de un ácido débil en un producto comercial mediante su neutralización con una base fuerte, utilizando dos técnicas distintas de valoración: mediante un indicador y por potenciometría (usando pH-metro).</w:t>
      </w:r>
    </w:p>
    <w:p w:rsidR="00CE0A63" w:rsidRPr="00CE0A63" w:rsidRDefault="00CE0A63" w:rsidP="00CE0A63">
      <w:pPr>
        <w:pStyle w:val="Ttulo1"/>
      </w:pPr>
      <w:r>
        <w:t>Materiales</w:t>
      </w:r>
    </w:p>
    <w:p w:rsidR="00B41943" w:rsidRDefault="00B41943" w:rsidP="00CE0A63">
      <w:pPr>
        <w:pStyle w:val="Prrafodelista"/>
        <w:numPr>
          <w:ilvl w:val="0"/>
          <w:numId w:val="11"/>
        </w:numPr>
      </w:pPr>
      <w:r>
        <w:t>Ventiladores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 w:rsidRPr="001B63C7">
        <w:t>Balanza Analítica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Bureta de 25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Erlenmeyers de 250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Probeta de 50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Pipeta de 2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Embudo cónico Vinagre comercial.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Cuentagotas.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Vasos de precipitados de 50 mL y de 250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Agitador magnético y barrita agitadora.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Soporte y pinza de bureta.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Matraz aforado de 250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Varilla de vidrio.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Vidrio de reloj.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Vial de 20 mL.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Fenolftaleína al 0,20% en etanol.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Hidróxido sódico (sólido).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Ftalato ácido de potasio 0,100M.</w:t>
      </w:r>
    </w:p>
    <w:p w:rsidR="001B63C7" w:rsidRDefault="001B63C7" w:rsidP="001B63C7">
      <w:pPr>
        <w:pStyle w:val="Prrafodelista"/>
        <w:numPr>
          <w:ilvl w:val="0"/>
          <w:numId w:val="11"/>
        </w:numPr>
      </w:pPr>
      <w:r>
        <w:t>Vinagre comercial.</w:t>
      </w:r>
    </w:p>
    <w:p w:rsidR="00390DEA" w:rsidRDefault="00CE0A63" w:rsidP="00235DE1">
      <w:pPr>
        <w:pStyle w:val="Ttulo1"/>
      </w:pPr>
      <w:r>
        <w:lastRenderedPageBreak/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1B63C7" w:rsidP="001B63C7">
            <w:r>
              <w:t xml:space="preserve">Luego de realizar la valoración por </w:t>
            </w:r>
            <w:r w:rsidRPr="001B63C7">
              <w:t>Valoración con indicador</w:t>
            </w:r>
            <w:r>
              <w:t xml:space="preserve"> , realice la n</w:t>
            </w:r>
            <w:r w:rsidRPr="001B63C7">
              <w:t>ormalización de la disolución de NaOH</w:t>
            </w:r>
            <w:r>
              <w:t xml:space="preserve"> y realice las lecturas con el sensor pH (seleccionar las medidas cuando la reacción se estabilice).</w:t>
            </w:r>
          </w:p>
        </w:tc>
        <w:tc>
          <w:tcPr>
            <w:tcW w:w="1848" w:type="dxa"/>
          </w:tcPr>
          <w:p w:rsidR="004948DC" w:rsidRDefault="001B63C7" w:rsidP="006B3BAC">
            <w:r>
              <w:t>ph</w:t>
            </w:r>
          </w:p>
        </w:tc>
        <w:tc>
          <w:tcPr>
            <w:tcW w:w="2408" w:type="dxa"/>
          </w:tcPr>
          <w:p w:rsidR="004948DC" w:rsidRDefault="001B63C7" w:rsidP="00870C96">
            <w:r>
              <w:t>ph</w:t>
            </w:r>
          </w:p>
        </w:tc>
        <w:tc>
          <w:tcPr>
            <w:tcW w:w="2229" w:type="dxa"/>
          </w:tcPr>
          <w:p w:rsidR="004948DC" w:rsidRDefault="00E20EDA" w:rsidP="00110D6D">
            <w:r>
              <w:t>00:</w:t>
            </w:r>
            <w:r w:rsidRPr="00B967FF">
              <w:t>0</w:t>
            </w:r>
            <w:r w:rsidR="00110D6D">
              <w:t>1</w:t>
            </w:r>
            <w:bookmarkStart w:id="0" w:name="_GoBack"/>
            <w:bookmarkEnd w:id="0"/>
            <w:r w:rsidRPr="00B967FF">
              <w:t>:</w:t>
            </w:r>
            <w:r w:rsidR="00110D6D">
              <w:t>0</w:t>
            </w:r>
            <w:r w:rsidR="001B63C7">
              <w:t>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B967FF" w:rsidRDefault="001B63C7" w:rsidP="001B63C7">
      <w:pPr>
        <w:pStyle w:val="Prrafodelista"/>
        <w:numPr>
          <w:ilvl w:val="0"/>
          <w:numId w:val="13"/>
        </w:numPr>
      </w:pPr>
      <w:r w:rsidRPr="001B63C7">
        <w:t>Explicar las diferencias entre los resultados d</w:t>
      </w:r>
      <w:r>
        <w:t xml:space="preserve">e los dos tipos de valoraciones </w:t>
      </w:r>
      <w:r w:rsidRPr="001B63C7">
        <w:t>¿Cuál es la más precisa y cuál es la más rápida?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10D6D"/>
    <w:rsid w:val="0015074B"/>
    <w:rsid w:val="001769BE"/>
    <w:rsid w:val="001B63C7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BC20B9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AB1AC7-7F54-4C83-9294-4576EA41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69</cp:revision>
  <dcterms:created xsi:type="dcterms:W3CDTF">2013-12-23T23:15:00Z</dcterms:created>
  <dcterms:modified xsi:type="dcterms:W3CDTF">2021-03-02T02:05:00Z</dcterms:modified>
  <cp:category/>
</cp:coreProperties>
</file>