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</w:rPr>
        <w:t>MUTUAL CONFIDENTIALITY AGREEMENT</w:t>
      </w:r>
    </w:p>
    <w:p>
      <w:pPr>
        <w:pStyle w:val="Heading 2"/>
        <w:keepNext w:val="1"/>
      </w:pPr>
      <w:r>
        <w:rPr>
          <w:rtl w:val="0"/>
          <w:lang w:val="en-US"/>
        </w:rPr>
        <w:t>Executive Strategic Assessment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Heading 3"/>
        <w:keepNext w:val="1"/>
      </w:pPr>
      <w:r>
        <w:rPr>
          <w:rtl w:val="0"/>
          <w:lang w:val="de-DE"/>
        </w:rPr>
        <w:t>BETWEEN: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The Executive</w:t>
      </w:r>
      <w:r>
        <w:rPr>
          <w:rtl w:val="0"/>
        </w:rPr>
        <w:t xml:space="preserve"> (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You</w:t>
      </w:r>
      <w:r>
        <w:rPr>
          <w:rtl w:val="0"/>
        </w:rPr>
        <w:t>”</w:t>
      </w:r>
      <w:r>
        <w:rPr>
          <w:rtl w:val="0"/>
        </w:rPr>
        <w:t>)</w:t>
      </w:r>
      <w:r>
        <w:br w:type="textWrapping"/>
      </w:r>
      <w:r>
        <w:rPr>
          <w:rtl w:val="0"/>
          <w:lang w:val="en-US"/>
        </w:rPr>
        <w:t>Name: ___________</w:t>
      </w:r>
    </w:p>
    <w:p>
      <w:pPr>
        <w:pStyle w:val="Body"/>
      </w:pPr>
      <w:r>
        <w:rPr>
          <w:rtl w:val="0"/>
          <w:lang w:val="en-US"/>
        </w:rPr>
        <w:t xml:space="preserve"> Title: ___________ </w:t>
      </w:r>
    </w:p>
    <w:p>
      <w:pPr>
        <w:pStyle w:val="Body"/>
      </w:pPr>
      <w:r>
        <w:rPr>
          <w:rtl w:val="0"/>
          <w:lang w:val="en-US"/>
        </w:rPr>
        <w:t>Organization: ___________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The Advisor</w:t>
      </w:r>
      <w:r>
        <w:rPr>
          <w:rtl w:val="0"/>
        </w:rPr>
        <w:t xml:space="preserve"> (</w:t>
      </w:r>
      <w:r>
        <w:rPr>
          <w:rtl w:val="1"/>
          <w:lang w:val="ar-SA" w:bidi="ar-SA"/>
        </w:rPr>
        <w:t>“</w:t>
      </w:r>
      <w:r>
        <w:rPr>
          <w:rtl w:val="0"/>
          <w:lang w:val="pt-PT"/>
        </w:rPr>
        <w:t>Francisco Baptista</w:t>
      </w:r>
      <w:r>
        <w:rPr>
          <w:rtl w:val="0"/>
        </w:rPr>
        <w:t>”</w:t>
      </w:r>
      <w:r>
        <w:rPr>
          <w:rtl w:val="0"/>
        </w:rPr>
        <w:t>)</w:t>
      </w:r>
      <w:r>
        <w:br w:type="textWrapping"/>
      </w:r>
      <w:r>
        <w:rPr>
          <w:rtl w:val="0"/>
          <w:lang w:val="en-US"/>
        </w:rPr>
        <w:t>Executive Integration Architect</w:t>
      </w:r>
      <w:r>
        <w:br w:type="textWrapping"/>
      </w:r>
      <w:r>
        <w:rPr>
          <w:rtl w:val="0"/>
          <w:lang w:val="en-US"/>
        </w:rPr>
        <w:t>Francisco Baptista Coaching &amp; Consulting</w:t>
      </w:r>
      <w:r>
        <w:br w:type="textWrapping"/>
      </w:r>
      <w:r>
        <w:rPr>
          <w:rtl w:val="0"/>
          <w:lang w:val="de-DE"/>
        </w:rPr>
        <w:t>Lausanne, Switzerland</w:t>
      </w:r>
    </w:p>
    <w:p>
      <w:pPr>
        <w:pStyle w:val="Body"/>
      </w:pPr>
      <w:r>
        <w:rPr>
          <w:rFonts w:ascii="Cambria Italic" w:hAnsi="Cambria Italic"/>
          <w:rtl w:val="0"/>
          <w:lang w:val="en-US"/>
        </w:rPr>
        <w:t xml:space="preserve">Collectively referred to as </w:t>
      </w:r>
      <w:r>
        <w:rPr>
          <w:rFonts w:ascii="Cambria Italic" w:hAnsi="Cambria Italic" w:hint="default"/>
          <w:rtl w:val="1"/>
          <w:lang w:val="ar-SA" w:bidi="ar-SA"/>
        </w:rPr>
        <w:t>“</w:t>
      </w:r>
      <w:r>
        <w:rPr>
          <w:rFonts w:ascii="Cambria Italic" w:hAnsi="Cambria Italic"/>
          <w:rtl w:val="0"/>
          <w:lang w:val="en-US"/>
        </w:rPr>
        <w:t>Both Parties</w:t>
      </w:r>
      <w:r>
        <w:rPr>
          <w:rFonts w:ascii="Cambria Italic" w:hAnsi="Cambria Italic" w:hint="default"/>
          <w:rtl w:val="0"/>
        </w:rPr>
        <w:t>”</w:t>
      </w:r>
    </w:p>
    <w:p>
      <w:pPr>
        <w:pStyle w:val="Body"/>
      </w:pPr>
      <w:r>
        <w:rPr>
          <w:rFonts w:ascii="Cambria Bold" w:hAnsi="Cambria Bold"/>
          <w:rtl w:val="0"/>
          <w:lang w:val="de-DE"/>
        </w:rPr>
        <w:t>Date:</w:t>
      </w:r>
      <w:r>
        <w:rPr>
          <w:rtl w:val="0"/>
          <w:lang w:val="en-US"/>
        </w:rPr>
        <w:t xml:space="preserve"> ___________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Heading 2"/>
        <w:keepNext w:val="1"/>
      </w:pPr>
      <w:r>
        <w:rPr>
          <w:rtl w:val="0"/>
          <w:lang w:val="de-DE"/>
        </w:rPr>
        <w:t>STRATEGIC CONTEXT</w:t>
      </w:r>
    </w:p>
    <w:p>
      <w:pPr>
        <w:pStyle w:val="Body"/>
      </w:pPr>
      <w:r>
        <w:rPr>
          <w:rtl w:val="0"/>
          <w:lang w:val="en-US"/>
        </w:rPr>
        <w:t>Both Parties recognise that executive transitions involve highly sensitive organisational dynamics, career-critical decisions, and proprietary methodologies. This Agreement ensures complete confidentiality while enabling candid strategic dialogue.</w:t>
      </w:r>
    </w:p>
    <w:p>
      <w:pPr>
        <w:pStyle w:val="Body"/>
      </w:pPr>
      <w:r>
        <w:rPr>
          <w:rtl w:val="0"/>
          <w:lang w:val="en-US"/>
        </w:rPr>
        <w:t>The Executive requires absolute discretion regarding their transition challenges, organisational dynamics, and career considerations.</w:t>
      </w:r>
    </w:p>
    <w:p>
      <w:pPr>
        <w:pStyle w:val="Body"/>
      </w:pPr>
      <w:r>
        <w:rPr>
          <w:rtl w:val="0"/>
          <w:lang w:val="en-US"/>
        </w:rPr>
        <w:t>The Advisor employs proprietary assessment methodologies and frameworks developed through 200+ executive engagements that constitute valuable intellectual property.</w:t>
      </w:r>
    </w:p>
    <w:p>
      <w:pPr>
        <w:pStyle w:val="Body"/>
      </w:pPr>
      <w:r>
        <w:rPr>
          <w:rtl w:val="0"/>
          <w:lang w:val="en-US"/>
        </w:rPr>
        <w:t>Both Parties benefit from unrestricted dialogue protected by mutual confidentiality.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Heading 2"/>
        <w:keepNext w:val="1"/>
      </w:pPr>
      <w:r>
        <w:rPr>
          <w:rtl w:val="0"/>
          <w:lang w:val="en-US"/>
        </w:rPr>
        <w:t>MUTUAL COMMITMENTS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Definition of Confidential Information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Executive</w:t>
      </w:r>
      <w:r>
        <w:rPr>
          <w:rFonts w:ascii="Cambria Bold" w:hAnsi="Cambria Bold" w:hint="default"/>
          <w:rtl w:val="1"/>
        </w:rPr>
        <w:t>’</w:t>
      </w:r>
      <w:r>
        <w:rPr>
          <w:rFonts w:ascii="Cambria Bold" w:hAnsi="Cambria Bold"/>
          <w:rtl w:val="0"/>
          <w:lang w:val="en-US"/>
        </w:rPr>
        <w:t>s Confidential Information includes: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Organisational structures, dynamics, and personnel matters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Performance evaluations, feedback, and development areas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Career aspirations, concerns, and strategic options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Compensation, incentive structures, and negotiations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Board dynamics and stakeholder relationships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Strategic initiatives and transformation plans</w:t>
      </w:r>
    </w:p>
    <w:p>
      <w:pPr>
        <w:pStyle w:val="Body"/>
        <w:numPr>
          <w:ilvl w:val="0"/>
          <w:numId w:val="2"/>
        </w:numPr>
        <w:spacing w:before="0" w:after="0"/>
        <w:rPr>
          <w:lang w:val="en-US"/>
        </w:rPr>
      </w:pPr>
      <w:r>
        <w:rPr>
          <w:rtl w:val="0"/>
          <w:lang w:val="en-US"/>
        </w:rPr>
        <w:t>Personal circumstances affecting professional performance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Advisor</w:t>
      </w:r>
      <w:r>
        <w:rPr>
          <w:rFonts w:ascii="Cambria Bold" w:hAnsi="Cambria Bold" w:hint="default"/>
          <w:rtl w:val="1"/>
        </w:rPr>
        <w:t>’</w:t>
      </w:r>
      <w:r>
        <w:rPr>
          <w:rFonts w:ascii="Cambria Bold" w:hAnsi="Cambria Bold"/>
          <w:rtl w:val="0"/>
          <w:lang w:val="en-US"/>
        </w:rPr>
        <w:t>s Confidential Information includes: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Executive Integration Architecture</w:t>
      </w:r>
      <w:r>
        <w:rPr>
          <w:rtl w:val="0"/>
        </w:rPr>
        <w:t xml:space="preserve">™ </w:t>
      </w:r>
      <w:r>
        <w:rPr>
          <w:rtl w:val="0"/>
          <w:lang w:val="en-US"/>
        </w:rPr>
        <w:t>methodology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Assessment frameworks and diagnostic tools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Pattern recognition insights from other engagements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Strategic recommendations and interventions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Behavioural integration protocols</w:t>
      </w:r>
    </w:p>
    <w:p>
      <w:pPr>
        <w:pStyle w:val="Body"/>
        <w:numPr>
          <w:ilvl w:val="0"/>
          <w:numId w:val="4"/>
        </w:numPr>
        <w:spacing w:before="0" w:after="0"/>
        <w:rPr>
          <w:lang w:val="en-US"/>
        </w:rPr>
      </w:pPr>
      <w:r>
        <w:rPr>
          <w:rtl w:val="0"/>
          <w:lang w:val="en-US"/>
        </w:rPr>
        <w:t>Success/failure predictive indicators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Mutual Obligations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Both Parties agree to: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Maintain absolute confidentiality of all disclosed information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Use information solely for the Purpose (defined below)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Not disclose to any third party without written consent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Protect information with the same degree of care used for own confidential information</w:t>
      </w:r>
    </w:p>
    <w:p>
      <w:pPr>
        <w:pStyle w:val="Body"/>
        <w:numPr>
          <w:ilvl w:val="0"/>
          <w:numId w:val="6"/>
        </w:numPr>
        <w:spacing w:before="0" w:after="0"/>
        <w:rPr>
          <w:lang w:val="en-US"/>
        </w:rPr>
      </w:pPr>
      <w:r>
        <w:rPr>
          <w:rtl w:val="0"/>
          <w:lang w:val="en-US"/>
        </w:rPr>
        <w:t>Return or destroy all materials upon request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Purpose</w:t>
      </w:r>
    </w:p>
    <w:p>
      <w:pPr>
        <w:pStyle w:val="Body"/>
      </w:pPr>
      <w:r>
        <w:rPr>
          <w:rtl w:val="0"/>
          <w:lang w:val="en-US"/>
        </w:rPr>
        <w:t>The sole purpose (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Purpose</w:t>
      </w:r>
      <w:r>
        <w:rPr>
          <w:rtl w:val="0"/>
        </w:rPr>
        <w:t>”</w:t>
      </w:r>
      <w:r>
        <w:rPr>
          <w:rtl w:val="0"/>
          <w:lang w:val="en-US"/>
        </w:rPr>
        <w:t>) of information exchange is to:</w:t>
      </w:r>
    </w:p>
    <w:p>
      <w:pPr>
        <w:pStyle w:val="Body"/>
        <w:numPr>
          <w:ilvl w:val="0"/>
          <w:numId w:val="8"/>
        </w:numPr>
        <w:spacing w:before="0" w:after="0"/>
        <w:rPr>
          <w:lang w:val="en-US"/>
        </w:rPr>
      </w:pPr>
      <w:r>
        <w:rPr>
          <w:rtl w:val="0"/>
          <w:lang w:val="en-US"/>
        </w:rPr>
        <w:t>Conduct strategic assessment of executive transition complexity</w:t>
      </w:r>
    </w:p>
    <w:p>
      <w:pPr>
        <w:pStyle w:val="Body"/>
        <w:numPr>
          <w:ilvl w:val="0"/>
          <w:numId w:val="8"/>
        </w:numPr>
        <w:spacing w:before="0" w:after="0"/>
        <w:rPr>
          <w:lang w:val="en-US"/>
        </w:rPr>
      </w:pPr>
      <w:r>
        <w:rPr>
          <w:rtl w:val="0"/>
          <w:lang w:val="en-US"/>
        </w:rPr>
        <w:t>Identify success accelerators and failure patterns</w:t>
      </w:r>
    </w:p>
    <w:p>
      <w:pPr>
        <w:pStyle w:val="Body"/>
        <w:numPr>
          <w:ilvl w:val="0"/>
          <w:numId w:val="8"/>
        </w:numPr>
        <w:spacing w:before="0" w:after="0"/>
        <w:rPr>
          <w:lang w:val="en-US"/>
        </w:rPr>
      </w:pPr>
      <w:r>
        <w:rPr>
          <w:rtl w:val="0"/>
          <w:lang w:val="en-US"/>
        </w:rPr>
        <w:t>Develop targeted intervention strategies if warranted</w:t>
      </w:r>
    </w:p>
    <w:p>
      <w:pPr>
        <w:pStyle w:val="Body"/>
        <w:numPr>
          <w:ilvl w:val="0"/>
          <w:numId w:val="8"/>
        </w:numPr>
        <w:spacing w:before="0" w:after="0"/>
        <w:rPr>
          <w:lang w:val="en-US"/>
        </w:rPr>
      </w:pPr>
      <w:r>
        <w:rPr>
          <w:rtl w:val="0"/>
          <w:lang w:val="en-US"/>
        </w:rPr>
        <w:t>Enable informed decision-making regarding ongoing engagement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Permitted Disclosures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Confidential Information may be disclosed only:</w:t>
      </w:r>
    </w:p>
    <w:p>
      <w:pPr>
        <w:pStyle w:val="Body"/>
        <w:numPr>
          <w:ilvl w:val="0"/>
          <w:numId w:val="10"/>
        </w:numPr>
        <w:spacing w:before="0" w:after="0"/>
        <w:rPr>
          <w:lang w:val="en-US"/>
        </w:rPr>
      </w:pPr>
      <w:r>
        <w:rPr>
          <w:rtl w:val="0"/>
          <w:lang w:val="en-US"/>
        </w:rPr>
        <w:t>With prior written consent of the disclosing Party</w:t>
      </w:r>
    </w:p>
    <w:p>
      <w:pPr>
        <w:pStyle w:val="Body"/>
        <w:numPr>
          <w:ilvl w:val="0"/>
          <w:numId w:val="10"/>
        </w:numPr>
        <w:spacing w:before="0" w:after="0"/>
        <w:rPr>
          <w:lang w:val="en-US"/>
        </w:rPr>
      </w:pPr>
      <w:r>
        <w:rPr>
          <w:rtl w:val="0"/>
          <w:lang w:val="en-US"/>
        </w:rPr>
        <w:t>If required by law, regulation, or court order (with immediate notice to other Party)</w:t>
      </w:r>
    </w:p>
    <w:p>
      <w:pPr>
        <w:pStyle w:val="Body"/>
        <w:numPr>
          <w:ilvl w:val="0"/>
          <w:numId w:val="10"/>
        </w:numPr>
        <w:spacing w:before="0" w:after="0"/>
        <w:rPr>
          <w:lang w:val="en-US"/>
        </w:rPr>
      </w:pPr>
      <w:r>
        <w:rPr>
          <w:rtl w:val="0"/>
          <w:lang w:val="en-US"/>
        </w:rPr>
        <w:t>To professional advisors bound by equivalent confidentiality obligations</w:t>
      </w:r>
    </w:p>
    <w:p>
      <w:pPr>
        <w:pStyle w:val="Body"/>
      </w:pPr>
      <w:r>
        <w:rPr>
          <w:rFonts w:ascii="Cambria Bold" w:hAnsi="Cambria Bold"/>
          <w:rtl w:val="0"/>
          <w:lang w:val="de-DE"/>
        </w:rPr>
        <w:t>Note:</w:t>
      </w:r>
      <w:r>
        <w:rPr>
          <w:rtl w:val="0"/>
          <w:lang w:val="en-US"/>
        </w:rPr>
        <w:t xml:space="preserve"> The Advisor may reference general patterns and anonymised insights in thought leadership, provided no identifying information is disclosed.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fr-FR"/>
        </w:rPr>
        <w:t>Non-Solicitation</w:t>
      </w:r>
    </w:p>
    <w:p>
      <w:pPr>
        <w:pStyle w:val="Body"/>
      </w:pPr>
      <w:r>
        <w:rPr>
          <w:rtl w:val="0"/>
          <w:lang w:val="en-US"/>
        </w:rPr>
        <w:t>For 24 months following this Agreement:</w:t>
      </w:r>
    </w:p>
    <w:p>
      <w:pPr>
        <w:pStyle w:val="Body"/>
        <w:numPr>
          <w:ilvl w:val="0"/>
          <w:numId w:val="12"/>
        </w:numPr>
        <w:spacing w:before="0" w:after="0"/>
        <w:rPr>
          <w:lang w:val="en-US"/>
        </w:rPr>
      </w:pPr>
      <w:r>
        <w:rPr>
          <w:rtl w:val="0"/>
          <w:lang w:val="en-US"/>
        </w:rPr>
        <w:t>The Advisor will not solicit employment from Executive</w:t>
      </w:r>
      <w:r>
        <w:rPr>
          <w:rtl w:val="1"/>
        </w:rPr>
        <w:t>’</w:t>
      </w:r>
      <w:r>
        <w:rPr>
          <w:rtl w:val="0"/>
          <w:lang w:val="fr-FR"/>
        </w:rPr>
        <w:t>s organisation</w:t>
      </w:r>
    </w:p>
    <w:p>
      <w:pPr>
        <w:pStyle w:val="Body"/>
        <w:numPr>
          <w:ilvl w:val="0"/>
          <w:numId w:val="12"/>
        </w:numPr>
        <w:spacing w:before="0" w:after="0"/>
        <w:rPr>
          <w:lang w:val="en-US"/>
        </w:rPr>
      </w:pPr>
      <w:r>
        <w:rPr>
          <w:rtl w:val="0"/>
          <w:lang w:val="en-US"/>
        </w:rPr>
        <w:t>The Executive will not solicit Advisor</w:t>
      </w:r>
      <w:r>
        <w:rPr>
          <w:rtl w:val="1"/>
        </w:rPr>
        <w:t>’</w:t>
      </w:r>
      <w:r>
        <w:rPr>
          <w:rtl w:val="0"/>
          <w:lang w:val="en-US"/>
        </w:rPr>
        <w:t>s other clients or partners</w:t>
      </w:r>
    </w:p>
    <w:p>
      <w:pPr>
        <w:pStyle w:val="Body"/>
        <w:numPr>
          <w:ilvl w:val="0"/>
          <w:numId w:val="12"/>
        </w:numPr>
        <w:spacing w:before="0" w:after="0"/>
        <w:rPr>
          <w:lang w:val="en-US"/>
        </w:rPr>
      </w:pPr>
      <w:r>
        <w:rPr>
          <w:rtl w:val="0"/>
          <w:lang w:val="en-US"/>
        </w:rPr>
        <w:t>Both Parties may engage in future professional relationships without restriction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Intellectual Property</w:t>
      </w:r>
    </w:p>
    <w:p>
      <w:pPr>
        <w:pStyle w:val="Body"/>
        <w:numPr>
          <w:ilvl w:val="0"/>
          <w:numId w:val="14"/>
        </w:numPr>
        <w:spacing w:before="0" w:after="0"/>
        <w:rPr>
          <w:lang w:val="en-US"/>
        </w:rPr>
      </w:pPr>
      <w:r>
        <w:rPr>
          <w:rtl w:val="0"/>
          <w:lang w:val="en-US"/>
        </w:rPr>
        <w:t>The Executive retains all rights to their organisational information</w:t>
      </w:r>
    </w:p>
    <w:p>
      <w:pPr>
        <w:pStyle w:val="Body"/>
        <w:numPr>
          <w:ilvl w:val="0"/>
          <w:numId w:val="14"/>
        </w:numPr>
        <w:spacing w:before="0" w:after="0"/>
        <w:rPr>
          <w:lang w:val="en-US"/>
        </w:rPr>
      </w:pPr>
      <w:r>
        <w:rPr>
          <w:rtl w:val="0"/>
          <w:lang w:val="en-US"/>
        </w:rPr>
        <w:t>The Advisor retains all rights to methodologies and frameworks</w:t>
      </w:r>
    </w:p>
    <w:p>
      <w:pPr>
        <w:pStyle w:val="Body"/>
        <w:numPr>
          <w:ilvl w:val="0"/>
          <w:numId w:val="14"/>
        </w:numPr>
        <w:spacing w:before="0" w:after="0"/>
        <w:rPr>
          <w:lang w:val="en-US"/>
        </w:rPr>
      </w:pPr>
      <w:r>
        <w:rPr>
          <w:rtl w:val="0"/>
          <w:lang w:val="en-US"/>
        </w:rPr>
        <w:t>Insights developed jointly during assessment remain confidential to Both Parties</w:t>
      </w:r>
    </w:p>
    <w:p>
      <w:pPr>
        <w:pStyle w:val="Body"/>
        <w:numPr>
          <w:ilvl w:val="0"/>
          <w:numId w:val="14"/>
        </w:numPr>
        <w:spacing w:before="0" w:after="0"/>
        <w:rPr>
          <w:lang w:val="en-US"/>
        </w:rPr>
      </w:pPr>
      <w:r>
        <w:rPr>
          <w:rtl w:val="0"/>
          <w:lang w:val="en-US"/>
        </w:rPr>
        <w:t>No license or transfer of intellectual property is implied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fr-FR"/>
        </w:rPr>
        <w:t>Duration</w:t>
      </w:r>
    </w:p>
    <w:p>
      <w:pPr>
        <w:pStyle w:val="Body"/>
      </w:pPr>
      <w:r>
        <w:rPr>
          <w:rtl w:val="0"/>
          <w:lang w:val="en-US"/>
        </w:rPr>
        <w:t>This Agreement remains in effect for:</w:t>
      </w:r>
    </w:p>
    <w:p>
      <w:pPr>
        <w:pStyle w:val="Body"/>
        <w:numPr>
          <w:ilvl w:val="0"/>
          <w:numId w:val="16"/>
        </w:numPr>
        <w:spacing w:before="0" w:after="0"/>
        <w:rPr>
          <w:lang w:val="en-US"/>
        </w:rPr>
      </w:pPr>
      <w:r>
        <w:rPr>
          <w:rtl w:val="0"/>
          <w:lang w:val="en-US"/>
        </w:rPr>
        <w:t>Five (5) years from date of signature</w:t>
      </w:r>
    </w:p>
    <w:p>
      <w:pPr>
        <w:pStyle w:val="Body"/>
        <w:numPr>
          <w:ilvl w:val="0"/>
          <w:numId w:val="16"/>
        </w:numPr>
        <w:spacing w:before="0" w:after="0"/>
        <w:rPr>
          <w:lang w:val="en-US"/>
        </w:rPr>
      </w:pPr>
      <w:r>
        <w:rPr>
          <w:rtl w:val="0"/>
          <w:lang w:val="en-US"/>
        </w:rPr>
        <w:t>Survival of obligations regarding proprietary methodologies: Indefinite</w:t>
      </w:r>
    </w:p>
    <w:p>
      <w:pPr>
        <w:pStyle w:val="Body"/>
        <w:numPr>
          <w:ilvl w:val="0"/>
          <w:numId w:val="16"/>
        </w:numPr>
        <w:spacing w:before="0" w:after="0"/>
        <w:rPr>
          <w:lang w:val="en-US"/>
        </w:rPr>
      </w:pPr>
      <w:r>
        <w:rPr>
          <w:rtl w:val="0"/>
          <w:lang w:val="en-US"/>
        </w:rPr>
        <w:t>Early termination only by mutual written consent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Data Protection</w:t>
      </w:r>
    </w:p>
    <w:p>
      <w:pPr>
        <w:pStyle w:val="Body"/>
      </w:pPr>
      <w:r>
        <w:rPr>
          <w:rtl w:val="0"/>
          <w:lang w:val="en-US"/>
        </w:rPr>
        <w:t>Both Parties comply with applicable data protection regulations including:</w:t>
      </w:r>
    </w:p>
    <w:p>
      <w:pPr>
        <w:pStyle w:val="Body"/>
        <w:numPr>
          <w:ilvl w:val="0"/>
          <w:numId w:val="18"/>
        </w:numPr>
        <w:spacing w:before="0" w:after="0"/>
        <w:rPr>
          <w:lang w:val="de-DE"/>
        </w:rPr>
      </w:pPr>
      <w:r>
        <w:rPr>
          <w:rtl w:val="0"/>
          <w:lang w:val="de-DE"/>
        </w:rPr>
        <w:t>GDPR (European Union)</w:t>
      </w:r>
    </w:p>
    <w:p>
      <w:pPr>
        <w:pStyle w:val="Body"/>
        <w:numPr>
          <w:ilvl w:val="0"/>
          <w:numId w:val="18"/>
        </w:numPr>
        <w:spacing w:before="0" w:after="0"/>
        <w:rPr>
          <w:lang w:val="en-US"/>
        </w:rPr>
      </w:pPr>
      <w:r>
        <w:rPr>
          <w:rtl w:val="0"/>
          <w:lang w:val="en-US"/>
        </w:rPr>
        <w:t>Swiss Federal Act on Data Protection</w:t>
      </w:r>
    </w:p>
    <w:p>
      <w:pPr>
        <w:pStyle w:val="Body"/>
        <w:numPr>
          <w:ilvl w:val="0"/>
          <w:numId w:val="18"/>
        </w:numPr>
        <w:spacing w:before="0" w:after="0"/>
        <w:rPr>
          <w:lang w:val="en-US"/>
        </w:rPr>
      </w:pPr>
      <w:r>
        <w:rPr>
          <w:rtl w:val="0"/>
          <w:lang w:val="en-US"/>
        </w:rPr>
        <w:t>Relevant jurisdiction-specific requirements</w:t>
      </w:r>
    </w:p>
    <w:p>
      <w:pPr>
        <w:pStyle w:val="Body"/>
      </w:pPr>
      <w:r>
        <w:rPr>
          <w:rtl w:val="0"/>
          <w:lang w:val="en-US"/>
        </w:rPr>
        <w:t>Electronic communications will use appropriate security measures.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en-US"/>
        </w:rPr>
        <w:t>Remedies</w:t>
      </w:r>
    </w:p>
    <w:p>
      <w:pPr>
        <w:pStyle w:val="Body"/>
      </w:pPr>
      <w:r>
        <w:rPr>
          <w:rtl w:val="0"/>
          <w:lang w:val="en-US"/>
        </w:rPr>
        <w:t>Both Parties acknowledge that breach would cause irreparable harm not adequately compensated by monetary damages. Equitable relief, including injunction, is available alongside other remedies.</w:t>
      </w:r>
    </w:p>
    <w:p>
      <w:pPr>
        <w:pStyle w:val="Body"/>
        <w:spacing w:before="0" w:after="0"/>
      </w:pPr>
      <w:r>
        <w:rPr>
          <w:rFonts w:ascii="Cambria Bold" w:hAnsi="Cambria Bold"/>
          <w:rtl w:val="0"/>
          <w:lang w:val="pt-PT"/>
        </w:rPr>
        <w:t>Governance</w:t>
      </w:r>
    </w:p>
    <w:p>
      <w:pPr>
        <w:pStyle w:val="Body"/>
        <w:numPr>
          <w:ilvl w:val="0"/>
          <w:numId w:val="20"/>
        </w:numPr>
        <w:spacing w:before="0" w:after="0"/>
        <w:rPr>
          <w:lang w:val="en-US"/>
        </w:rPr>
      </w:pPr>
      <w:r>
        <w:rPr>
          <w:rFonts w:ascii="Cambria Bold" w:hAnsi="Cambria Bold"/>
          <w:rtl w:val="0"/>
          <w:lang w:val="en-US"/>
        </w:rPr>
        <w:t>Governing Law:</w:t>
      </w:r>
      <w:r>
        <w:rPr>
          <w:rtl w:val="0"/>
          <w:lang w:val="en-US"/>
        </w:rPr>
        <w:t xml:space="preserve"> Swiss Law</w:t>
      </w:r>
    </w:p>
    <w:p>
      <w:pPr>
        <w:pStyle w:val="Body"/>
        <w:numPr>
          <w:ilvl w:val="0"/>
          <w:numId w:val="20"/>
        </w:numPr>
        <w:spacing w:before="0" w:after="0"/>
        <w:rPr>
          <w:lang w:val="en-US"/>
        </w:rPr>
      </w:pPr>
      <w:r>
        <w:rPr>
          <w:rFonts w:ascii="Cambria Bold" w:hAnsi="Cambria Bold"/>
          <w:rtl w:val="0"/>
          <w:lang w:val="en-US"/>
        </w:rPr>
        <w:t>Jurisdiction:</w:t>
      </w:r>
      <w:r>
        <w:rPr>
          <w:rtl w:val="0"/>
          <w:lang w:val="en-US"/>
        </w:rPr>
        <w:t xml:space="preserve"> Courts of Lausanne, Switzerland</w:t>
      </w:r>
    </w:p>
    <w:p>
      <w:pPr>
        <w:pStyle w:val="Body"/>
        <w:numPr>
          <w:ilvl w:val="0"/>
          <w:numId w:val="20"/>
        </w:numPr>
        <w:spacing w:before="0" w:after="0"/>
        <w:rPr>
          <w:lang w:val="en-US"/>
        </w:rPr>
      </w:pPr>
      <w:r>
        <w:rPr>
          <w:rFonts w:ascii="Cambria Bold" w:hAnsi="Cambria Bold"/>
          <w:rtl w:val="0"/>
          <w:lang w:val="en-US"/>
        </w:rPr>
        <w:t>Dispute Resolution:</w:t>
      </w:r>
      <w:r>
        <w:rPr>
          <w:rtl w:val="0"/>
          <w:lang w:val="en-US"/>
        </w:rPr>
        <w:t xml:space="preserve"> Good faith negotiation, then binding arbitration under Swiss Rules of International Arbitration</w:t>
      </w:r>
    </w:p>
    <w:p>
      <w:pPr>
        <w:pStyle w:val="Body"/>
        <w:numPr>
          <w:ilvl w:val="0"/>
          <w:numId w:val="20"/>
        </w:numPr>
        <w:spacing w:before="0" w:after="0"/>
        <w:rPr>
          <w:lang w:val="en-US"/>
        </w:rPr>
      </w:pPr>
      <w:r>
        <w:rPr>
          <w:rFonts w:ascii="Cambria Bold" w:hAnsi="Cambria Bold"/>
          <w:rtl w:val="0"/>
          <w:lang w:val="en-US"/>
        </w:rPr>
        <w:t>Entire Agreement:</w:t>
      </w:r>
      <w:r>
        <w:rPr>
          <w:rtl w:val="0"/>
          <w:lang w:val="en-US"/>
        </w:rPr>
        <w:t xml:space="preserve"> This Agreement supersedes all prior understandings</w:t>
      </w:r>
    </w:p>
    <w:p>
      <w:pPr>
        <w:pStyle w:val="Body"/>
        <w:numPr>
          <w:ilvl w:val="0"/>
          <w:numId w:val="20"/>
        </w:numPr>
        <w:spacing w:before="0" w:after="0"/>
        <w:rPr>
          <w:lang w:val="en-US"/>
        </w:rPr>
      </w:pPr>
      <w:r>
        <w:rPr>
          <w:rFonts w:ascii="Cambria Bold" w:hAnsi="Cambria Bold"/>
          <w:rtl w:val="0"/>
          <w:lang w:val="en-US"/>
        </w:rPr>
        <w:t>Amendments:</w:t>
      </w:r>
      <w:r>
        <w:rPr>
          <w:rtl w:val="0"/>
          <w:lang w:val="en-US"/>
        </w:rPr>
        <w:t xml:space="preserve"> Valid only in writing, signed by Both Parties</w:t>
      </w:r>
    </w:p>
    <w:p>
      <w:pPr>
        <w:pStyle w:val="Body"/>
        <w:numPr>
          <w:ilvl w:val="0"/>
          <w:numId w:val="20"/>
        </w:numPr>
        <w:spacing w:before="0" w:after="0"/>
        <w:rPr>
          <w:lang w:val="en-US"/>
        </w:rPr>
      </w:pPr>
      <w:r>
        <w:rPr>
          <w:rFonts w:ascii="Cambria Bold" w:hAnsi="Cambria Bold"/>
          <w:rtl w:val="0"/>
          <w:lang w:val="en-US"/>
        </w:rPr>
        <w:t>Severability:</w:t>
      </w:r>
      <w:r>
        <w:rPr>
          <w:rtl w:val="0"/>
          <w:lang w:val="en-US"/>
        </w:rPr>
        <w:t xml:space="preserve"> Invalid provisions do not affect remaining terms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Heading 2"/>
        <w:keepNext w:val="1"/>
      </w:pPr>
      <w:r>
        <w:rPr>
          <w:rtl w:val="0"/>
          <w:lang w:val="en-US"/>
        </w:rPr>
        <w:t>ACKNOWLEDGMENT</w:t>
      </w:r>
    </w:p>
    <w:p>
      <w:pPr>
        <w:pStyle w:val="Body"/>
      </w:pPr>
      <w:r>
        <w:rPr>
          <w:rtl w:val="0"/>
          <w:lang w:val="en-US"/>
        </w:rPr>
        <w:t>By signing below, Both Parties confirm:</w:t>
      </w:r>
    </w:p>
    <w:p>
      <w:pPr>
        <w:pStyle w:val="Body"/>
        <w:numPr>
          <w:ilvl w:val="0"/>
          <w:numId w:val="22"/>
        </w:numPr>
        <w:spacing w:before="0" w:after="0"/>
        <w:rPr>
          <w:lang w:val="en-US"/>
        </w:rPr>
      </w:pPr>
      <w:r>
        <w:rPr>
          <w:rtl w:val="0"/>
          <w:lang w:val="en-US"/>
        </w:rPr>
        <w:t>Understanding of all terms and obligations</w:t>
      </w:r>
    </w:p>
    <w:p>
      <w:pPr>
        <w:pStyle w:val="Body"/>
        <w:numPr>
          <w:ilvl w:val="0"/>
          <w:numId w:val="22"/>
        </w:numPr>
        <w:spacing w:before="0" w:after="0"/>
        <w:rPr>
          <w:lang w:val="en-US"/>
        </w:rPr>
      </w:pPr>
      <w:r>
        <w:rPr>
          <w:rtl w:val="0"/>
          <w:lang w:val="en-US"/>
        </w:rPr>
        <w:t>Authority to enter this Agreement</w:t>
      </w:r>
    </w:p>
    <w:p>
      <w:pPr>
        <w:pStyle w:val="Body"/>
        <w:numPr>
          <w:ilvl w:val="0"/>
          <w:numId w:val="22"/>
        </w:numPr>
        <w:spacing w:before="0" w:after="0"/>
        <w:rPr>
          <w:lang w:val="en-US"/>
        </w:rPr>
      </w:pPr>
      <w:r>
        <w:rPr>
          <w:rtl w:val="0"/>
          <w:lang w:val="en-US"/>
        </w:rPr>
        <w:t>Recognition that mutual trust enables optimal outcomes</w:t>
      </w:r>
    </w:p>
    <w:p>
      <w:pPr>
        <w:pStyle w:val="Body"/>
        <w:numPr>
          <w:ilvl w:val="0"/>
          <w:numId w:val="22"/>
        </w:numPr>
        <w:spacing w:before="0" w:after="0"/>
        <w:rPr>
          <w:lang w:val="en-US"/>
        </w:rPr>
      </w:pPr>
      <w:r>
        <w:rPr>
          <w:rtl w:val="0"/>
          <w:lang w:val="en-US"/>
        </w:rPr>
        <w:t>Commitment to maintaining highest professional standards</w:t>
      </w:r>
    </w:p>
    <w:p>
      <w:pPr>
        <w:pStyle w:val="Body"/>
      </w:pPr>
      <w:r>
        <w:rPr>
          <w:rtl w:val="0"/>
          <w:lang w:val="en-US"/>
        </w:rPr>
        <w:t>This Agreement enables the candid, strategic dialogue necessary for evaluating complex executive transitions while protecting both organisational and methodological confidentiality.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Heading 3"/>
        <w:keepNext w:val="1"/>
      </w:pPr>
      <w:r>
        <w:rPr>
          <w:rtl w:val="0"/>
          <w:lang w:val="pt-PT"/>
        </w:rPr>
        <w:t>SIGNATURES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THE EXECUTIVE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Body"/>
      </w:pPr>
      <w:r>
        <w:rPr>
          <w:rtl w:val="0"/>
          <w:lang w:val="en-US"/>
        </w:rPr>
        <w:t>Signature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Body"/>
      </w:pPr>
      <w:r>
        <w:rPr>
          <w:rtl w:val="0"/>
          <w:lang w:val="en-US"/>
        </w:rPr>
        <w:t>Print Name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Body"/>
      </w:pPr>
      <w:r>
        <w:rPr>
          <w:rtl w:val="0"/>
          <w:lang w:val="en-US"/>
        </w:rPr>
        <w:t>Title &amp; Organization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Body"/>
      </w:pPr>
      <w:r>
        <w:rPr>
          <w:rtl w:val="0"/>
          <w:lang w:val="de-DE"/>
        </w:rPr>
        <w:t>Date</w:t>
      </w:r>
    </w:p>
    <w:p>
      <w:pPr>
        <w:pStyle w:val="Body"/>
      </w:pPr>
      <w:r>
        <w:rPr>
          <w:rFonts w:ascii="Cambria Bold" w:hAnsi="Cambria Bold"/>
          <w:rtl w:val="0"/>
          <w:lang w:val="en-US"/>
        </w:rPr>
        <w:t>THE ADVISOR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Body"/>
      </w:pPr>
      <w:r>
        <w:rPr>
          <w:rtl w:val="0"/>
          <w:lang w:val="pt-PT"/>
        </w:rPr>
        <w:t>Francisco Baptista</w:t>
      </w:r>
      <w:r>
        <w:br w:type="textWrapping"/>
      </w:r>
      <w:r>
        <w:rPr>
          <w:rtl w:val="0"/>
          <w:lang w:val="en-US"/>
        </w:rPr>
        <w:t>Executive Integration Architect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before="0" w:after="0" w:line="24" w:lineRule="auto"/>
      </w:pPr>
    </w:p>
    <w:p>
      <w:pPr>
        <w:pStyle w:val="Body"/>
      </w:pPr>
      <w:r>
        <w:rPr>
          <w:rtl w:val="0"/>
          <w:lang w:val="de-DE"/>
        </w:rPr>
        <w:t>Date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  <w:font w:name="Cambria 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16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90" w:after="13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