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A365D"/>
          <w:sz w:val="44"/>
        </w:rPr>
        <w:t>Eval de cámara — 97 señas (17/09/2026)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 xml:space="preserve">CSV: src/eval_97senias_20260917_160148.csv  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 xml:space="preserve">Checkpoint: tinyskeleton_best_optuna_v2.pth (baseline 16 frames / 128 dim / 4 heads / 2 capas, 97 clases)  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 xml:space="preserve">Captura: 640x480→pad853x480 · MediaPipe 0.10.21 · mano derecha · modo auto  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Protocolo: 1 toma por seña.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Números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Recorte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Top-1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Top-3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97 señas (crudo)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75/97 = 77,3 %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92/97 = 94,8 %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5 fuera de top-3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97 con colapso O≡0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76/97 = 78,4 %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homógrafo real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97 con O≡0 + estáticas/dinámicas colapsadas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81/97 = 83,5 %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 es el protocolo objetivo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36 letras/números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32/36 = 88,9 %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36/36 = 100 %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comparable al 08-26 en 4:3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36 con O≡0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33/36 = 91,7 %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100 %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fallan D, L, V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Confianza media: aciertos 0,971 · fallos 0,833 (el modelo está seguro incluso cuando se equivoca).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Val offline del mismo checkpoint: 98,28 % top-1. La brecha offline→cámara sigue siendo el dato que importa.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Qué se confirmó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El letterboxing llegó a MediaPipe. frame_size = 640x480-&gt;pad853x480.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I → ojo desapareció. I salió I (0,89). En las dos evals del 15/09, los tres modelos la mandaban a ojo con confianza ≈ 1,0. Era el artefacto de aspect ratio, no el modelo.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T acierta (0,66, rival X). E y G aciertan (los dos fallos “sin explicación” del test offline de y×1,333).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V ↔ viernes no se resolvió con reentrenar. Bidireccional: V→viernes (0,93) y viernes→V (0,62). El dataset da sep = 0,28 en movimiento: viernes no se regrabó.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36 letras/números vs 15/09 (4:3, 94 clases)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15/09 A (4:3) 08-26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15/09 B (4:3) 08-26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17/09 pad 16:9, 97c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Top-1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88,9 %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75,0 %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88,9 %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I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ojo (0,995)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ojo (0,980)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I (0,890)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O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R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viernes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lunes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esposo a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El 88,9 % de las 36 no es un empate inocente: se ganó I (el fallo más caro) y se perdió V porque ahora existe el contraste con viernes en el vocabulario. O≡0 y D→0 siguen.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Hay que leer el 88,9 % con la varianza ya medida (±14 pp entre dos corridas de una toma). El resultado *estable* no es el porcentaje global, es el cambio de I.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Fallos de las 97, cruzados con el dataset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Veredicto: si el par es separable en los .npy y el modelo igual falla en vivo, la ejecución de cámara no coincidió con el dato de entrenamiento.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Esperada</w:t>
            </w:r>
          </w:p>
        </w:tc>
        <w:tc>
          <w:tcPr>
            <w:tcW w:type="dxa" w:w="199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Salió</w:t>
            </w:r>
          </w:p>
        </w:tc>
        <w:tc>
          <w:tcPr>
            <w:tcW w:type="dxa" w:w="199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</w:t>
            </w:r>
          </w:p>
        </w:tc>
        <w:tc>
          <w:tcPr>
            <w:tcW w:type="dxa" w:w="199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Top-3</w:t>
            </w:r>
          </w:p>
        </w:tc>
        <w:tc>
          <w:tcPr>
            <w:tcW w:type="dxa" w:w="199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mal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0,999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mio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5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0,998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(mio es clase nueva; seña cercana a 5)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vos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0,997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donde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F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0,997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/ seña dinámica ejecutada como letra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O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0,996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homógrafo (sep 0,53)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repetir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documento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0,995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años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G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0,995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límite; dinámica vs letra (sep 0,59)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esposo a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0,981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(no fue L↔lunes)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viernes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0,928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dato ambiguo (viernes sin regrabar)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ellos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ahora_hoy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0,924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chau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hola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0,910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familia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calle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0,887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calle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brazo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0,883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cuando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pasado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0,826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captura; pasado atrae señas temporales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ayer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pasado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0,821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captura; mismo atractor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papa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quien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0,725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(atractor de cara)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lunes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0,653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/ dinámica ejecutada como letra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0,628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 (en dataset D↔0 se separa por curl_index 0,99)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viernes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0,622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dato ambiguo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ojo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vivir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0,526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límite; casi acierto (0,53 vs 0,47)</w:t>
            </w:r>
          </w:p>
        </w:tc>
      </w:tr>
      <w:tr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nosotros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ahora_hoy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0,521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no</w:t>
            </w:r>
          </w:p>
        </w:tc>
        <w:tc>
          <w:tcPr>
            <w:tcW w:type="dxa" w:w="199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</w:t>
            </w:r>
          </w:p>
        </w:tc>
      </w:tr>
      <w:tr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cara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4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0,510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sí</w:t>
            </w:r>
          </w:p>
        </w:tc>
        <w:tc>
          <w:tcPr>
            <w:tcW w:type="dxa" w:w="199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captura; casi acierto (0,51 vs 0,47)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Fuera de top-3 (5): donde, ellos, familia, nosotros, repetir.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Casi aciertos que con una segunda toma probablemente entran: ojo, cara.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Familias estáticas vs dinámicas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El objetivo de esta rama es separarlas, no colapsarlas.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Letra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Seña</w:t>
            </w:r>
          </w:p>
        </w:tc>
        <w:tc>
          <w:tcPr>
            <w:tcW w:type="dxa" w:w="2493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Lectura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 / lunes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 → esposo a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lunes → L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la letra se fue a otro atractor; el lunes se ejecutó como L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G / años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G OK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años → G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la dinámica se aplastó a la letra</w:t>
            </w:r>
          </w:p>
        </w:tc>
      </w:tr>
      <w:tr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F / donde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F OK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donde → F (fuera de top-3)</w:t>
            </w:r>
          </w:p>
        </w:tc>
        <w:tc>
          <w:tcPr>
            <w:tcW w:type="dxa" w:w="2493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idem</w:t>
            </w:r>
          </w:p>
        </w:tc>
      </w:tr>
      <w:tr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 / viernes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 → viernes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viernes → V</w:t>
            </w:r>
          </w:p>
        </w:tc>
        <w:tc>
          <w:tcPr>
            <w:tcW w:type="dxa" w:w="2493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sin contraste de movimiento en el dato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Patrón: cuando la seña dinámica se ejecuta sin el agite (o el trim/subsampleo lo borra), el modelo predice la letra. El dataset *sí* separa L/lunes (range_wrist_x 0,88) y donde/F (curl_ring 1,00). El fallo es de cómo se seña en eval, no de falta de señal en el corpus.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Comparación con la eval de 94 del 31/08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Sobre las 94 señas comunes, contra el baseline 16f de agosto (el que se recomendaba integrar): 86,2 % → 77,7 %. Contra Optuna 08-29: 76,6 % → 77,7 % (empate).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No es un veredicto limpio contra el 86,2 %: cambió el vocabulario (entró pasado, que se comió ayer y cuando), cambió el aspect de captura, cambió V, y sigue siendo una toma. Lo que sí es atribuible: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I y T mejoran (aspect).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V/viernes empeoran (regrabación incompleta).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pasado es un atractor nuevo.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Clases nuevas: pasado OK, futuro OK, mio → 5. ñ OK.</w:t>
      </w: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Aciertos frágiles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Seña</w:t>
            </w:r>
          </w:p>
        </w:tc>
        <w:tc>
          <w:tcPr>
            <w:tcW w:type="dxa" w:w="332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</w:t>
            </w:r>
          </w:p>
        </w:tc>
        <w:tc>
          <w:tcPr>
            <w:tcW w:type="dxa" w:w="3324"/>
            <w:shd w:fill="1A365D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Rival</w:t>
            </w:r>
          </w:p>
        </w:tc>
      </w:tr>
      <w:tr>
        <w:tc>
          <w:tcPr>
            <w:tcW w:type="dxa" w:w="33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B</w:t>
            </w:r>
          </w:p>
        </w:tc>
        <w:tc>
          <w:tcPr>
            <w:tcW w:type="dxa" w:w="33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0,62</w:t>
            </w:r>
          </w:p>
        </w:tc>
        <w:tc>
          <w:tcPr>
            <w:tcW w:type="dxa" w:w="3324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documento 0,31</w:t>
            </w:r>
          </w:p>
        </w:tc>
      </w:tr>
      <w:tr>
        <w:tc>
          <w:tcPr>
            <w:tcW w:type="dxa" w:w="332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T</w:t>
            </w:r>
          </w:p>
        </w:tc>
        <w:tc>
          <w:tcPr>
            <w:tcW w:type="dxa" w:w="332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0,66</w:t>
            </w:r>
          </w:p>
        </w:tc>
        <w:tc>
          <w:tcPr>
            <w:tcW w:type="dxa" w:w="3324"/>
            <w:shd w:fill="EDF2F7" w:val="clear"/>
            <w:tcBorders>
              <w:top w:val="single" w:sz="4" w:color="CBD5E0"/>
              <w:left w:val="single" w:sz="4" w:color="CBD5E0"/>
              <w:bottom w:val="single" w:sz="4" w:color="CBD5E0"/>
              <w:right w:val="single" w:sz="4" w:color="CBD5E0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20"/>
              </w:rPr>
              <w:t>X 0,32</w:t>
            </w:r>
          </w:p>
        </w:tc>
      </w:tr>
    </w:tbl>
    <w:p>
      <w:pPr>
        <w:spacing w:after="120"/>
      </w:pPr>
    </w:p>
    <w:p>
      <w:pPr>
        <w:spacing w:before="320" w:after="160"/>
        <w:pBdr>
          <w:bottom w:val="single" w:sz="12" w:space="4" w:color="2B6CB0"/>
        </w:pBdr>
      </w:pPr>
      <w:r>
        <w:rPr>
          <w:rFonts w:ascii="Calibri" w:hAnsi="Calibri" w:eastAsia="Calibri"/>
          <w:b/>
          <w:i w:val="0"/>
          <w:color w:val="1A365D"/>
          <w:sz w:val="32"/>
        </w:rPr>
        <w:t>Qué no hace falta hacer ahora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Reentrenar para “arreglar I”. Ya está.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Meter las 26 features al tensor solo para I/T/ojo. Ese trío lo resolvió el padding.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A202C"/>
          <w:sz w:val="22"/>
        </w:rPr>
        <w:t>Usar el 88,9 % de agosto en 4:3 como línea de base del modelo nuevo. La comparable es esta eval, con padding.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