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56"/>
          <w:szCs w:val="56"/>
        </w:rPr>
      </w:pPr>
      <w:r w:rsidDel="00000000" w:rsidR="00000000" w:rsidRPr="00000000">
        <w:rPr>
          <w:sz w:val="56"/>
          <w:szCs w:val="56"/>
          <w:rtl w:val="0"/>
        </w:rPr>
        <w:t xml:space="preserve">Proyecto </w:t>
      </w:r>
    </w:p>
    <w:p w:rsidR="00000000" w:rsidDel="00000000" w:rsidP="00000000" w:rsidRDefault="00000000" w:rsidRPr="00000000" w14:paraId="00000002">
      <w:pPr>
        <w:jc w:val="center"/>
        <w:rPr>
          <w:sz w:val="52"/>
          <w:szCs w:val="52"/>
        </w:rPr>
      </w:pPr>
      <w:r w:rsidDel="00000000" w:rsidR="00000000" w:rsidRPr="00000000">
        <w:rPr>
          <w:rtl w:val="0"/>
        </w:rPr>
      </w:r>
    </w:p>
    <w:p w:rsidR="00000000" w:rsidDel="00000000" w:rsidP="00000000" w:rsidRDefault="00000000" w:rsidRPr="00000000" w14:paraId="00000003">
      <w:pPr>
        <w:jc w:val="center"/>
        <w:rPr>
          <w:sz w:val="52"/>
          <w:szCs w:val="52"/>
        </w:rPr>
      </w:pPr>
      <w:r w:rsidDel="00000000" w:rsidR="00000000" w:rsidRPr="00000000">
        <w:rPr>
          <w:sz w:val="52"/>
          <w:szCs w:val="52"/>
          <w:rtl w:val="0"/>
        </w:rPr>
        <w:t xml:space="preserve">[Segunda Entrega]</w:t>
      </w:r>
    </w:p>
    <w:p w:rsidR="00000000" w:rsidDel="00000000" w:rsidP="00000000" w:rsidRDefault="00000000" w:rsidRPr="00000000" w14:paraId="00000004">
      <w:pPr>
        <w:jc w:val="center"/>
        <w:rPr>
          <w:sz w:val="52"/>
          <w:szCs w:val="52"/>
        </w:rPr>
      </w:pPr>
      <w:r w:rsidDel="00000000" w:rsidR="00000000" w:rsidRPr="00000000">
        <w:rPr>
          <w:rtl w:val="0"/>
        </w:rPr>
      </w:r>
    </w:p>
    <w:p w:rsidR="00000000" w:rsidDel="00000000" w:rsidP="00000000" w:rsidRDefault="00000000" w:rsidRPr="00000000" w14:paraId="00000005">
      <w:pPr>
        <w:jc w:val="center"/>
        <w:rPr>
          <w:sz w:val="96"/>
          <w:szCs w:val="96"/>
        </w:rPr>
      </w:pPr>
      <w:r w:rsidDel="00000000" w:rsidR="00000000" w:rsidRPr="00000000">
        <w:rPr>
          <w:sz w:val="96"/>
          <w:szCs w:val="96"/>
          <w:rtl w:val="0"/>
        </w:rPr>
        <w:t xml:space="preserve">Estimación de costos</w:t>
      </w:r>
    </w:p>
    <w:p w:rsidR="00000000" w:rsidDel="00000000" w:rsidP="00000000" w:rsidRDefault="00000000" w:rsidRPr="00000000" w14:paraId="00000006">
      <w:pPr>
        <w:rPr>
          <w:sz w:val="40"/>
          <w:szCs w:val="40"/>
        </w:rPr>
      </w:pPr>
      <w:r w:rsidDel="00000000" w:rsidR="00000000" w:rsidRPr="00000000">
        <w:rPr>
          <w:rtl w:val="0"/>
        </w:rPr>
      </w:r>
    </w:p>
    <w:p w:rsidR="00000000" w:rsidDel="00000000" w:rsidP="00000000" w:rsidRDefault="00000000" w:rsidRPr="00000000" w14:paraId="00000007">
      <w:pPr>
        <w:rPr>
          <w:sz w:val="40"/>
          <w:szCs w:val="40"/>
        </w:rPr>
      </w:pPr>
      <w:r w:rsidDel="00000000" w:rsidR="00000000" w:rsidRPr="00000000">
        <w:rPr>
          <w:rtl w:val="0"/>
        </w:rPr>
      </w:r>
    </w:p>
    <w:p w:rsidR="00000000" w:rsidDel="00000000" w:rsidP="00000000" w:rsidRDefault="00000000" w:rsidRPr="00000000" w14:paraId="00000008">
      <w:pPr>
        <w:rPr>
          <w:sz w:val="40"/>
          <w:szCs w:val="40"/>
        </w:rPr>
      </w:pPr>
      <w:r w:rsidDel="00000000" w:rsidR="00000000" w:rsidRPr="00000000">
        <w:rPr>
          <w:rtl w:val="0"/>
        </w:rPr>
      </w:r>
    </w:p>
    <w:p w:rsidR="00000000" w:rsidDel="00000000" w:rsidP="00000000" w:rsidRDefault="00000000" w:rsidRPr="00000000" w14:paraId="00000009">
      <w:pPr>
        <w:rPr>
          <w:sz w:val="44"/>
          <w:szCs w:val="44"/>
        </w:rPr>
      </w:pPr>
      <w:r w:rsidDel="00000000" w:rsidR="00000000" w:rsidRPr="00000000">
        <w:rPr>
          <w:sz w:val="44"/>
          <w:szCs w:val="44"/>
          <w:rtl w:val="0"/>
        </w:rPr>
        <w:t xml:space="preserve">Fecha de presentación: 09/09/2024</w:t>
      </w:r>
    </w:p>
    <w:p w:rsidR="00000000" w:rsidDel="00000000" w:rsidP="00000000" w:rsidRDefault="00000000" w:rsidRPr="00000000" w14:paraId="0000000A">
      <w:pPr>
        <w:rPr>
          <w:sz w:val="44"/>
          <w:szCs w:val="44"/>
        </w:rPr>
      </w:pPr>
      <w:r w:rsidDel="00000000" w:rsidR="00000000" w:rsidRPr="00000000">
        <w:rPr>
          <w:sz w:val="44"/>
          <w:szCs w:val="44"/>
          <w:rtl w:val="0"/>
        </w:rPr>
        <w:t xml:space="preserve">Cliente: Aurora SA.</w:t>
      </w:r>
    </w:p>
    <w:p w:rsidR="00000000" w:rsidDel="00000000" w:rsidP="00000000" w:rsidRDefault="00000000" w:rsidRPr="00000000" w14:paraId="0000000B">
      <w:pPr>
        <w:spacing w:after="160" w:line="259" w:lineRule="auto"/>
        <w:rPr>
          <w:sz w:val="44"/>
          <w:szCs w:val="44"/>
        </w:rPr>
      </w:pPr>
      <w:r w:rsidDel="00000000" w:rsidR="00000000" w:rsidRPr="00000000">
        <w:rPr>
          <w:sz w:val="44"/>
          <w:szCs w:val="44"/>
          <w:rtl w:val="0"/>
        </w:rPr>
        <w:t xml:space="preserve">Motor: PostgreSQL</w:t>
      </w:r>
      <w:r w:rsidDel="00000000" w:rsidR="00000000" w:rsidRPr="00000000">
        <w:br w:type="page"/>
      </w:r>
      <w:r w:rsidDel="00000000" w:rsidR="00000000" w:rsidRPr="00000000">
        <w:rPr>
          <w:rtl w:val="0"/>
        </w:rPr>
      </w:r>
    </w:p>
    <w:p w:rsidR="00000000" w:rsidDel="00000000" w:rsidP="00000000" w:rsidRDefault="00000000" w:rsidRPr="00000000" w14:paraId="0000000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PostgreSQL</w:t>
              <w:tab/>
              <w:t xml:space="preserve">3</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76"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Requisitos técnicos por cubrir</w:t>
              <w:tab/>
              <w:t xml:space="preserve">3</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76"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Perfiles técnicos</w:t>
              <w:tab/>
              <w:t xml:space="preserve">3</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76"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Costos</w:t>
              <w:tab/>
              <w:t xml:space="preserve">4</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76" w:lineRule="auto"/>
            <w:ind w:left="4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Detalle de costos de perfiles técnicos</w:t>
              <w:tab/>
              <w:t xml:space="preserve">4</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76"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Costo del soporte técnico del motor</w:t>
              <w:tab/>
              <w:t xml:space="preserve">4</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76" w:lineRule="auto"/>
            <w:ind w:left="4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Costo de licencia</w:t>
              <w:tab/>
              <w:t xml:space="preserve">4</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76"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Costos totales</w:t>
              <w:tab/>
              <w:t xml:space="preserve">4</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76"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w:t>
              <w:tab/>
              <w:t xml:space="preserve">5</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76"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Bibliografía</w:t>
              <w:tab/>
              <w:t xml:space="preserve">5</w:t>
            </w:r>
          </w:hyperlink>
          <w:r w:rsidDel="00000000" w:rsidR="00000000" w:rsidRPr="00000000">
            <w:rPr>
              <w:rtl w:val="0"/>
            </w:rPr>
          </w:r>
        </w:p>
        <w:p w:rsidR="00000000" w:rsidDel="00000000" w:rsidP="00000000" w:rsidRDefault="00000000" w:rsidRPr="00000000" w14:paraId="00000017">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8">
      <w:pPr>
        <w:spacing w:after="160" w:line="259" w:lineRule="auto"/>
        <w:rPr>
          <w:rFonts w:ascii="Calibri" w:cs="Calibri" w:eastAsia="Calibri" w:hAnsi="Calibri"/>
          <w:color w:val="2f5496"/>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19">
      <w:pPr>
        <w:pStyle w:val="Heading1"/>
        <w:rPr/>
      </w:pPr>
      <w:bookmarkStart w:colFirst="0" w:colLast="0" w:name="_heading=h.gjdgxs" w:id="0"/>
      <w:bookmarkEnd w:id="0"/>
      <w:r w:rsidDel="00000000" w:rsidR="00000000" w:rsidRPr="00000000">
        <w:rPr>
          <w:rtl w:val="0"/>
        </w:rPr>
        <w:t xml:space="preserve">PostgreSQL</w:t>
      </w:r>
    </w:p>
    <w:p w:rsidR="00000000" w:rsidDel="00000000" w:rsidP="00000000" w:rsidRDefault="00000000" w:rsidRPr="00000000" w14:paraId="0000001A">
      <w:pPr>
        <w:pStyle w:val="Heading2"/>
        <w:rPr/>
      </w:pPr>
      <w:bookmarkStart w:colFirst="0" w:colLast="0" w:name="_heading=h.30j0zll" w:id="1"/>
      <w:bookmarkEnd w:id="1"/>
      <w:r w:rsidDel="00000000" w:rsidR="00000000" w:rsidRPr="00000000">
        <w:rPr>
          <w:rtl w:val="0"/>
        </w:rPr>
        <w:t xml:space="preserve">Requisitos técnicos por cubrir</w:t>
      </w:r>
    </w:p>
    <w:p w:rsidR="00000000" w:rsidDel="00000000" w:rsidP="00000000" w:rsidRDefault="00000000" w:rsidRPr="00000000" w14:paraId="0000001B">
      <w:pPr>
        <w:ind w:left="360" w:firstLine="0"/>
        <w:jc w:val="both"/>
        <w:rPr/>
      </w:pPr>
      <w:r w:rsidDel="00000000" w:rsidR="00000000" w:rsidRPr="00000000">
        <w:rPr>
          <w:rtl w:val="0"/>
        </w:rPr>
        <w:t xml:space="preserve">Considerando que el motor anteriormente seleccionado no cumple con los requisitos, se opta por utilizar PostgreSQL, debido a su nulidad en cuanto a precio ya que es open source, que cumple todas las especificaciones técnicas y que se encuentra disponible en tres de las herramientas de cálculo de costos para servicios en la Nube más importantes. Véase:</w:t>
      </w:r>
    </w:p>
    <w:p w:rsidR="00000000" w:rsidDel="00000000" w:rsidP="00000000" w:rsidRDefault="00000000" w:rsidRPr="00000000" w14:paraId="0000001C">
      <w:pPr>
        <w:ind w:left="360" w:firstLine="0"/>
        <w:rPr/>
      </w:pPr>
      <w:hyperlink r:id="rId7">
        <w:r w:rsidDel="00000000" w:rsidR="00000000" w:rsidRPr="00000000">
          <w:rPr>
            <w:color w:val="1155cc"/>
            <w:u w:val="single"/>
            <w:rtl w:val="0"/>
          </w:rPr>
          <w:t xml:space="preserve">https://calculator.aws/#/</w:t>
        </w:r>
      </w:hyperlink>
      <w:r w:rsidDel="00000000" w:rsidR="00000000" w:rsidRPr="00000000">
        <w:rPr>
          <w:rtl w:val="0"/>
        </w:rPr>
        <w:t xml:space="preserve"> (Amazon Web Service)</w:t>
      </w:r>
      <w:r w:rsidDel="00000000" w:rsidR="00000000" w:rsidRPr="00000000">
        <w:rPr>
          <w:rtl w:val="0"/>
        </w:rPr>
        <w:br w:type="textWrapping"/>
      </w:r>
      <w:hyperlink r:id="rId8">
        <w:r w:rsidDel="00000000" w:rsidR="00000000" w:rsidRPr="00000000">
          <w:rPr>
            <w:color w:val="1155cc"/>
            <w:u w:val="single"/>
            <w:rtl w:val="0"/>
          </w:rPr>
          <w:t xml:space="preserve">https://azure.microsoft.com/es-es/pricing/calculator/</w:t>
        </w:r>
      </w:hyperlink>
      <w:r w:rsidDel="00000000" w:rsidR="00000000" w:rsidRPr="00000000">
        <w:rPr>
          <w:rtl w:val="0"/>
        </w:rPr>
        <w:t xml:space="preserve"> (Microsoft Azure)</w:t>
        <w:br w:type="textWrapping"/>
      </w:r>
      <w:hyperlink r:id="rId9">
        <w:r w:rsidDel="00000000" w:rsidR="00000000" w:rsidRPr="00000000">
          <w:rPr>
            <w:color w:val="1155cc"/>
            <w:u w:val="single"/>
            <w:rtl w:val="0"/>
          </w:rPr>
          <w:t xml:space="preserve">https://cloud.google.com/products/calculator?hl=es&amp;dl=CiRlZTQ2MmNiMi1mNTc3LTRiMDMtYWIyZC0xYzhhN2NlYzY5ZDUQBxokNDExQUIwNEYtRDUwMy00N0QyLTk0MjgtNTQ3NUUyMUE3RDkx</w:t>
        </w:r>
      </w:hyperlink>
      <w:r w:rsidDel="00000000" w:rsidR="00000000" w:rsidRPr="00000000">
        <w:rPr>
          <w:rtl w:val="0"/>
        </w:rPr>
        <w:t xml:space="preserve"> (Google Cloud)</w:t>
      </w:r>
    </w:p>
    <w:p w:rsidR="00000000" w:rsidDel="00000000" w:rsidP="00000000" w:rsidRDefault="00000000" w:rsidRPr="00000000" w14:paraId="0000001D">
      <w:pPr>
        <w:ind w:left="360" w:firstLine="348"/>
        <w:rPr/>
      </w:pPr>
      <w:r w:rsidDel="00000000" w:rsidR="00000000" w:rsidRPr="00000000">
        <w:rPr>
          <w:rtl w:val="0"/>
        </w:rPr>
        <w:t xml:space="preserve">Alojar en la nube tiene dos principales beneficios: Permite sin ningún tipo de problema la escalabilidad y la alta disponibilidad, además de desligarse de problemas físicos del servidor. En base a esto la tecnología a utilizar será PaaS (Plataforma como Servicio) porque, en el contexto solicitado, nos permite prescindir del diseño y mantenimiento de la infraestructura, así como de la gestión de la seguridad. Además, facilita el acceso directo y centralizado a las tres sucursales, y ofrece una mayor escalabilidad en caso de que el supermercado decida expandirse.</w:t>
      </w:r>
    </w:p>
    <w:p w:rsidR="00000000" w:rsidDel="00000000" w:rsidP="00000000" w:rsidRDefault="00000000" w:rsidRPr="00000000" w14:paraId="0000001E">
      <w:pPr>
        <w:ind w:left="360" w:firstLine="0"/>
        <w:rPr/>
      </w:pPr>
      <w:r w:rsidDel="00000000" w:rsidR="00000000" w:rsidRPr="00000000">
        <w:rPr>
          <w:rtl w:val="0"/>
        </w:rPr>
        <w:t xml:space="preserve">La configuración que utilizamos, en lineamientos generales, es:</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instancia, 730 horas por mes.</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8-16vCPU, 64GB de memoria RAM.</w:t>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5-10GB de almacenamiento, 4GB de memoria de backup.</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Descuento anual / 3 años, si lo permite.</w:t>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Servidor alojado en USA, central.</w:t>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108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Redundancia a nivel GRS, para garantizar la durabilidad de los datos.</w:t>
      </w:r>
    </w:p>
    <w:p w:rsidR="00000000" w:rsidDel="00000000" w:rsidP="00000000" w:rsidRDefault="00000000" w:rsidRPr="00000000" w14:paraId="00000025">
      <w:pPr>
        <w:pStyle w:val="Heading2"/>
        <w:rPr/>
      </w:pPr>
      <w:bookmarkStart w:colFirst="0" w:colLast="0" w:name="_heading=h.1fob9te" w:id="2"/>
      <w:bookmarkEnd w:id="2"/>
      <w:r w:rsidDel="00000000" w:rsidR="00000000" w:rsidRPr="00000000">
        <w:rPr>
          <w:rtl w:val="0"/>
        </w:rPr>
        <w:t xml:space="preserve">Perfiles técnicos </w:t>
      </w:r>
    </w:p>
    <w:p w:rsidR="00000000" w:rsidDel="00000000" w:rsidP="00000000" w:rsidRDefault="00000000" w:rsidRPr="00000000" w14:paraId="00000026">
      <w:pPr>
        <w:ind w:left="360" w:firstLine="0"/>
        <w:jc w:val="both"/>
        <w:rPr/>
      </w:pPr>
      <w:r w:rsidDel="00000000" w:rsidR="00000000" w:rsidRPr="00000000">
        <w:rPr>
          <w:rtl w:val="0"/>
        </w:rPr>
        <w:t xml:space="preserve">Consideramos que bastaría con un Semi-Senior DBA para brindar soporte y mantenimiento a la base de datos, contando con un contrato de 40 horas semanales, de lunes a viernes. En cuanto a los conocimientos técnicos que debe tener se encuentran garantizar un alto rendimiento y ajuste de consultas. Es fundamental que posea habilidades en la gestión de roles y permisos, y la configuración de accesos seguros. Además, debe estar familiarizado con la configuración de replicación, alta disponibilidad y escalabilidad automática. La automatización de tareas mediante scripting (Bash o Python) y el uso de herramientas de monitoreo específicas de la nube son también esenciales.</w:t>
      </w:r>
    </w:p>
    <w:p w:rsidR="00000000" w:rsidDel="00000000" w:rsidP="00000000" w:rsidRDefault="00000000" w:rsidRPr="00000000" w14:paraId="00000027">
      <w:pPr>
        <w:spacing w:after="160" w:line="259" w:lineRule="auto"/>
        <w:rPr>
          <w:rFonts w:ascii="Calibri" w:cs="Calibri" w:eastAsia="Calibri" w:hAnsi="Calibri"/>
          <w:color w:val="2f5496"/>
          <w:sz w:val="26"/>
          <w:szCs w:val="26"/>
        </w:rPr>
      </w:pPr>
      <w:bookmarkStart w:colFirst="0" w:colLast="0" w:name="_heading=h.3znysh7" w:id="3"/>
      <w:bookmarkEnd w:id="3"/>
      <w:r w:rsidDel="00000000" w:rsidR="00000000" w:rsidRPr="00000000">
        <w:br w:type="page"/>
      </w:r>
      <w:r w:rsidDel="00000000" w:rsidR="00000000" w:rsidRPr="00000000">
        <w:rPr>
          <w:rtl w:val="0"/>
        </w:rPr>
      </w:r>
    </w:p>
    <w:p w:rsidR="00000000" w:rsidDel="00000000" w:rsidP="00000000" w:rsidRDefault="00000000" w:rsidRPr="00000000" w14:paraId="00000028">
      <w:pPr>
        <w:pStyle w:val="Heading2"/>
        <w:rPr/>
      </w:pPr>
      <w:r w:rsidDel="00000000" w:rsidR="00000000" w:rsidRPr="00000000">
        <w:rPr>
          <w:rtl w:val="0"/>
        </w:rPr>
        <w:t xml:space="preserve">Costos</w:t>
      </w:r>
    </w:p>
    <w:p w:rsidR="00000000" w:rsidDel="00000000" w:rsidP="00000000" w:rsidRDefault="00000000" w:rsidRPr="00000000" w14:paraId="00000029">
      <w:pPr>
        <w:pStyle w:val="Heading3"/>
        <w:rPr/>
      </w:pPr>
      <w:bookmarkStart w:colFirst="0" w:colLast="0" w:name="_heading=h.2et92p0" w:id="4"/>
      <w:bookmarkEnd w:id="4"/>
      <w:r w:rsidDel="00000000" w:rsidR="00000000" w:rsidRPr="00000000">
        <w:rPr>
          <w:rtl w:val="0"/>
        </w:rPr>
        <w:t xml:space="preserve">Detalle de costos de perfiles técnicos</w:t>
      </w:r>
    </w:p>
    <w:p w:rsidR="00000000" w:rsidDel="00000000" w:rsidP="00000000" w:rsidRDefault="00000000" w:rsidRPr="00000000" w14:paraId="0000002A">
      <w:pPr>
        <w:jc w:val="both"/>
        <w:rPr/>
      </w:pPr>
      <w:r w:rsidDel="00000000" w:rsidR="00000000" w:rsidRPr="00000000">
        <w:rPr>
          <w:rtl w:val="0"/>
        </w:rPr>
      </w:r>
    </w:p>
    <w:tbl>
      <w:tblPr>
        <w:tblStyle w:val="Table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7"/>
        <w:gridCol w:w="2337"/>
        <w:gridCol w:w="2338"/>
        <w:gridCol w:w="2338"/>
        <w:tblGridChange w:id="0">
          <w:tblGrid>
            <w:gridCol w:w="2337"/>
            <w:gridCol w:w="2337"/>
            <w:gridCol w:w="2338"/>
            <w:gridCol w:w="2338"/>
          </w:tblGrid>
        </w:tblGridChange>
      </w:tblGrid>
      <w:tr>
        <w:trPr>
          <w:cantSplit w:val="0"/>
          <w:tblHeader w:val="0"/>
        </w:trPr>
        <w:tc>
          <w:tcPr/>
          <w:p w:rsidR="00000000" w:rsidDel="00000000" w:rsidP="00000000" w:rsidRDefault="00000000" w:rsidRPr="00000000" w14:paraId="0000002B">
            <w:pPr>
              <w:jc w:val="both"/>
              <w:rPr/>
            </w:pPr>
            <w:r w:rsidDel="00000000" w:rsidR="00000000" w:rsidRPr="00000000">
              <w:rPr>
                <w:rtl w:val="0"/>
              </w:rPr>
              <w:t xml:space="preserve">Perfil</w:t>
            </w:r>
          </w:p>
        </w:tc>
        <w:tc>
          <w:tcPr/>
          <w:p w:rsidR="00000000" w:rsidDel="00000000" w:rsidP="00000000" w:rsidRDefault="00000000" w:rsidRPr="00000000" w14:paraId="0000002C">
            <w:pPr>
              <w:jc w:val="both"/>
              <w:rPr/>
            </w:pPr>
            <w:r w:rsidDel="00000000" w:rsidR="00000000" w:rsidRPr="00000000">
              <w:rPr>
                <w:rtl w:val="0"/>
              </w:rPr>
              <w:t xml:space="preserve">Cantidad de personas</w:t>
            </w:r>
          </w:p>
        </w:tc>
        <w:tc>
          <w:tcPr/>
          <w:p w:rsidR="00000000" w:rsidDel="00000000" w:rsidP="00000000" w:rsidRDefault="00000000" w:rsidRPr="00000000" w14:paraId="0000002D">
            <w:pPr>
              <w:jc w:val="both"/>
              <w:rPr/>
            </w:pPr>
            <w:r w:rsidDel="00000000" w:rsidR="00000000" w:rsidRPr="00000000">
              <w:rPr>
                <w:rtl w:val="0"/>
              </w:rPr>
              <w:t xml:space="preserve">Valor hora de trabajo</w:t>
            </w:r>
          </w:p>
        </w:tc>
        <w:tc>
          <w:tcPr/>
          <w:p w:rsidR="00000000" w:rsidDel="00000000" w:rsidP="00000000" w:rsidRDefault="00000000" w:rsidRPr="00000000" w14:paraId="0000002E">
            <w:pPr>
              <w:jc w:val="both"/>
              <w:rPr/>
            </w:pPr>
            <w:r w:rsidDel="00000000" w:rsidR="00000000" w:rsidRPr="00000000">
              <w:rPr>
                <w:rtl w:val="0"/>
              </w:rPr>
              <w:t xml:space="preserve">Total </w:t>
            </w:r>
          </w:p>
        </w:tc>
      </w:tr>
      <w:tr>
        <w:trPr>
          <w:cantSplit w:val="0"/>
          <w:tblHeader w:val="0"/>
        </w:trPr>
        <w:tc>
          <w:tcPr/>
          <w:p w:rsidR="00000000" w:rsidDel="00000000" w:rsidP="00000000" w:rsidRDefault="00000000" w:rsidRPr="00000000" w14:paraId="0000002F">
            <w:pPr>
              <w:jc w:val="both"/>
              <w:rPr/>
            </w:pPr>
            <w:r w:rsidDel="00000000" w:rsidR="00000000" w:rsidRPr="00000000">
              <w:rPr>
                <w:rtl w:val="0"/>
              </w:rPr>
              <w:t xml:space="preserve">Semi-Senior</w:t>
            </w:r>
          </w:p>
        </w:tc>
        <w:tc>
          <w:tcPr/>
          <w:p w:rsidR="00000000" w:rsidDel="00000000" w:rsidP="00000000" w:rsidRDefault="00000000" w:rsidRPr="00000000" w14:paraId="00000030">
            <w:pPr>
              <w:jc w:val="both"/>
              <w:rPr/>
            </w:pPr>
            <w:r w:rsidDel="00000000" w:rsidR="00000000" w:rsidRPr="00000000">
              <w:rPr>
                <w:rtl w:val="0"/>
              </w:rPr>
              <w:t xml:space="preserve">1</w:t>
            </w:r>
          </w:p>
        </w:tc>
        <w:tc>
          <w:tcPr/>
          <w:p w:rsidR="00000000" w:rsidDel="00000000" w:rsidP="00000000" w:rsidRDefault="00000000" w:rsidRPr="00000000" w14:paraId="00000031">
            <w:pPr>
              <w:jc w:val="both"/>
              <w:rPr/>
            </w:pPr>
            <w:r w:rsidDel="00000000" w:rsidR="00000000" w:rsidRPr="00000000">
              <w:rPr>
                <w:rtl w:val="0"/>
              </w:rPr>
              <w:t xml:space="preserve">USD$28,4</w:t>
            </w:r>
          </w:p>
        </w:tc>
        <w:tc>
          <w:tcPr/>
          <w:p w:rsidR="00000000" w:rsidDel="00000000" w:rsidP="00000000" w:rsidRDefault="00000000" w:rsidRPr="00000000" w14:paraId="00000032">
            <w:pPr>
              <w:jc w:val="both"/>
              <w:rPr/>
            </w:pPr>
            <w:r w:rsidDel="00000000" w:rsidR="00000000" w:rsidRPr="00000000">
              <w:rPr>
                <w:rtl w:val="0"/>
              </w:rPr>
              <w:t xml:space="preserve">USD$5.000</w:t>
            </w:r>
          </w:p>
        </w:tc>
      </w:tr>
    </w:tbl>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pStyle w:val="Heading2"/>
        <w:rPr/>
      </w:pPr>
      <w:bookmarkStart w:colFirst="0" w:colLast="0" w:name="_heading=h.tyjcwt" w:id="5"/>
      <w:bookmarkEnd w:id="5"/>
      <w:r w:rsidDel="00000000" w:rsidR="00000000" w:rsidRPr="00000000">
        <w:rPr>
          <w:rtl w:val="0"/>
        </w:rPr>
        <w:t xml:space="preserve">Costos en cada herramienta de cálculo</w:t>
      </w:r>
    </w:p>
    <w:tbl>
      <w:tblPr>
        <w:tblStyle w:val="Table2"/>
        <w:tblW w:w="9349.999999999998"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24"/>
        <w:gridCol w:w="3162"/>
        <w:gridCol w:w="2864"/>
        <w:tblGridChange w:id="0">
          <w:tblGrid>
            <w:gridCol w:w="3324"/>
            <w:gridCol w:w="3162"/>
            <w:gridCol w:w="2864"/>
          </w:tblGrid>
        </w:tblGridChange>
      </w:tblGrid>
      <w:tr>
        <w:trPr>
          <w:cantSplit w:val="0"/>
          <w:tblHeader w:val="0"/>
        </w:trPr>
        <w:tc>
          <w:tcPr>
            <w:vMerge w:val="restart"/>
          </w:tcPr>
          <w:p w:rsidR="00000000" w:rsidDel="00000000" w:rsidP="00000000" w:rsidRDefault="00000000" w:rsidRPr="00000000" w14:paraId="00000035">
            <w:pPr>
              <w:pStyle w:val="Heading3"/>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Herramienta de cálculo </w:t>
            </w:r>
          </w:p>
          <w:p w:rsidR="00000000" w:rsidDel="00000000" w:rsidP="00000000" w:rsidRDefault="00000000" w:rsidRPr="00000000" w14:paraId="00000036">
            <w:pPr>
              <w:pStyle w:val="Heading3"/>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en la nube</w:t>
            </w:r>
          </w:p>
        </w:tc>
        <w:tc>
          <w:tcPr>
            <w:gridSpan w:val="2"/>
          </w:tcPr>
          <w:p w:rsidR="00000000" w:rsidDel="00000000" w:rsidP="00000000" w:rsidRDefault="00000000" w:rsidRPr="00000000" w14:paraId="00000037">
            <w:pPr>
              <w:pStyle w:val="Heading3"/>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Importe total $USD</w:t>
            </w:r>
          </w:p>
          <w:p w:rsidR="00000000" w:rsidDel="00000000" w:rsidP="00000000" w:rsidRDefault="00000000" w:rsidRPr="00000000" w14:paraId="00000038">
            <w:pPr>
              <w:pStyle w:val="Heading3"/>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16"/>
                <w:szCs w:val="16"/>
                <w:rtl w:val="0"/>
              </w:rPr>
              <w:t xml:space="preserve">(expresado en moneda Dólar americano)</w:t>
            </w:r>
            <w:r w:rsidDel="00000000" w:rsidR="00000000" w:rsidRPr="00000000">
              <w:rPr>
                <w:rtl w:val="0"/>
              </w:rPr>
            </w:r>
          </w:p>
        </w:tc>
      </w:tr>
      <w:tr>
        <w:trPr>
          <w:cantSplit w:val="0"/>
          <w:tblHeader w:val="0"/>
        </w:trPr>
        <w:tc>
          <w:tcPr>
            <w:vMerge w:val="continue"/>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2"/>
                <w:szCs w:val="22"/>
              </w:rPr>
            </w:pPr>
            <w:r w:rsidDel="00000000" w:rsidR="00000000" w:rsidRPr="00000000">
              <w:rPr>
                <w:rtl w:val="0"/>
              </w:rPr>
            </w:r>
          </w:p>
        </w:tc>
        <w:tc>
          <w:tcPr/>
          <w:p w:rsidR="00000000" w:rsidDel="00000000" w:rsidP="00000000" w:rsidRDefault="00000000" w:rsidRPr="00000000" w14:paraId="0000003B">
            <w:pPr>
              <w:pStyle w:val="Heading3"/>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Mensual</w:t>
            </w:r>
          </w:p>
        </w:tc>
        <w:tc>
          <w:tcPr/>
          <w:p w:rsidR="00000000" w:rsidDel="00000000" w:rsidP="00000000" w:rsidRDefault="00000000" w:rsidRPr="00000000" w14:paraId="0000003C">
            <w:pPr>
              <w:pStyle w:val="Heading3"/>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Anual</w:t>
            </w:r>
          </w:p>
        </w:tc>
      </w:tr>
      <w:tr>
        <w:trPr>
          <w:cantSplit w:val="0"/>
          <w:trHeight w:val="567" w:hRule="atLeast"/>
          <w:tblHeader w:val="0"/>
        </w:trPr>
        <w:tc>
          <w:tcPr/>
          <w:p w:rsidR="00000000" w:rsidDel="00000000" w:rsidP="00000000" w:rsidRDefault="00000000" w:rsidRPr="00000000" w14:paraId="0000003D">
            <w:pPr>
              <w:pStyle w:val="Heading3"/>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Amazon Web Services</w:t>
            </w:r>
          </w:p>
        </w:tc>
        <w:tc>
          <w:tcPr/>
          <w:p w:rsidR="00000000" w:rsidDel="00000000" w:rsidP="00000000" w:rsidRDefault="00000000" w:rsidRPr="00000000" w14:paraId="0000003E">
            <w:pPr>
              <w:pStyle w:val="Heading3"/>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2.640,28</w:t>
            </w:r>
          </w:p>
        </w:tc>
        <w:tc>
          <w:tcPr/>
          <w:p w:rsidR="00000000" w:rsidDel="00000000" w:rsidP="00000000" w:rsidRDefault="00000000" w:rsidRPr="00000000" w14:paraId="0000003F">
            <w:pPr>
              <w:pStyle w:val="Heading3"/>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31.683,36</w:t>
            </w:r>
          </w:p>
        </w:tc>
      </w:tr>
      <w:tr>
        <w:trPr>
          <w:cantSplit w:val="0"/>
          <w:trHeight w:val="567" w:hRule="atLeast"/>
          <w:tblHeader w:val="0"/>
        </w:trPr>
        <w:tc>
          <w:tcPr/>
          <w:p w:rsidR="00000000" w:rsidDel="00000000" w:rsidP="00000000" w:rsidRDefault="00000000" w:rsidRPr="00000000" w14:paraId="00000040">
            <w:pPr>
              <w:pStyle w:val="Heading3"/>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Microsoft Azure</w:t>
            </w:r>
          </w:p>
        </w:tc>
        <w:tc>
          <w:tcPr/>
          <w:p w:rsidR="00000000" w:rsidDel="00000000" w:rsidP="00000000" w:rsidRDefault="00000000" w:rsidRPr="00000000" w14:paraId="00000041">
            <w:pPr>
              <w:pStyle w:val="Heading3"/>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474,30</w:t>
            </w:r>
          </w:p>
        </w:tc>
        <w:tc>
          <w:tcPr/>
          <w:p w:rsidR="00000000" w:rsidDel="00000000" w:rsidP="00000000" w:rsidRDefault="00000000" w:rsidRPr="00000000" w14:paraId="00000042">
            <w:pPr>
              <w:pStyle w:val="Heading3"/>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5.691,6</w:t>
            </w:r>
          </w:p>
        </w:tc>
      </w:tr>
      <w:tr>
        <w:trPr>
          <w:cantSplit w:val="0"/>
          <w:trHeight w:val="567" w:hRule="atLeast"/>
          <w:tblHeader w:val="0"/>
        </w:trPr>
        <w:tc>
          <w:tcPr/>
          <w:p w:rsidR="00000000" w:rsidDel="00000000" w:rsidP="00000000" w:rsidRDefault="00000000" w:rsidRPr="00000000" w14:paraId="00000043">
            <w:pPr>
              <w:pStyle w:val="Heading3"/>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Google Cloud</w:t>
            </w:r>
          </w:p>
        </w:tc>
        <w:tc>
          <w:tcPr/>
          <w:p w:rsidR="00000000" w:rsidDel="00000000" w:rsidP="00000000" w:rsidRDefault="00000000" w:rsidRPr="00000000" w14:paraId="00000044">
            <w:pPr>
              <w:pStyle w:val="Heading3"/>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607,19</w:t>
            </w:r>
          </w:p>
        </w:tc>
        <w:tc>
          <w:tcPr/>
          <w:p w:rsidR="00000000" w:rsidDel="00000000" w:rsidP="00000000" w:rsidRDefault="00000000" w:rsidRPr="00000000" w14:paraId="00000045">
            <w:pPr>
              <w:pStyle w:val="Heading3"/>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7.286,28</w:t>
            </w:r>
          </w:p>
        </w:tc>
      </w:tr>
    </w:tbl>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Para facilitar el calculo de los posteriores costos se promedia a USD$1.240,59 mensuales y USD14.887,08 anuales.</w:t>
      </w:r>
    </w:p>
    <w:p w:rsidR="00000000" w:rsidDel="00000000" w:rsidP="00000000" w:rsidRDefault="00000000" w:rsidRPr="00000000" w14:paraId="00000048">
      <w:pPr>
        <w:pStyle w:val="Heading3"/>
        <w:rPr/>
      </w:pPr>
      <w:bookmarkStart w:colFirst="0" w:colLast="0" w:name="_heading=h.3dy6vkm" w:id="6"/>
      <w:bookmarkEnd w:id="6"/>
      <w:r w:rsidDel="00000000" w:rsidR="00000000" w:rsidRPr="00000000">
        <w:rPr>
          <w:rtl w:val="0"/>
        </w:rPr>
        <w:t xml:space="preserve">Costo de licencia</w:t>
      </w:r>
    </w:p>
    <w:p w:rsidR="00000000" w:rsidDel="00000000" w:rsidP="00000000" w:rsidRDefault="00000000" w:rsidRPr="00000000" w14:paraId="00000049">
      <w:pPr>
        <w:jc w:val="both"/>
        <w:rPr/>
      </w:pPr>
      <w:r w:rsidDel="00000000" w:rsidR="00000000" w:rsidRPr="00000000">
        <w:rPr>
          <w:rtl w:val="0"/>
        </w:rPr>
        <w:t xml:space="preserve">PostgreSQL es completamente gratuito para su uso, distribución y modificación. No existen costos asociados a licencias, ni siquiera para su uso comercial.</w:t>
      </w:r>
    </w:p>
    <w:p w:rsidR="00000000" w:rsidDel="00000000" w:rsidP="00000000" w:rsidRDefault="00000000" w:rsidRPr="00000000" w14:paraId="0000004A">
      <w:pPr>
        <w:pStyle w:val="Heading2"/>
        <w:rPr/>
      </w:pPr>
      <w:bookmarkStart w:colFirst="0" w:colLast="0" w:name="_heading=h.1t3h5sf" w:id="7"/>
      <w:bookmarkEnd w:id="7"/>
      <w:r w:rsidDel="00000000" w:rsidR="00000000" w:rsidRPr="00000000">
        <w:rPr>
          <w:rtl w:val="0"/>
        </w:rPr>
        <w:t xml:space="preserve">Costos totales</w:t>
      </w:r>
    </w:p>
    <w:tbl>
      <w:tblPr>
        <w:tblStyle w:val="Table3"/>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4"/>
        <w:gridCol w:w="3118"/>
        <w:gridCol w:w="3118"/>
        <w:tblGridChange w:id="0">
          <w:tblGrid>
            <w:gridCol w:w="3114"/>
            <w:gridCol w:w="3118"/>
            <w:gridCol w:w="3118"/>
          </w:tblGrid>
        </w:tblGridChange>
      </w:tblGrid>
      <w:tr>
        <w:trPr>
          <w:cantSplit w:val="0"/>
          <w:trHeight w:val="862" w:hRule="atLeast"/>
          <w:tblHeader w:val="0"/>
        </w:trPr>
        <w:tc>
          <w:tcPr/>
          <w:p w:rsidR="00000000" w:rsidDel="00000000" w:rsidP="00000000" w:rsidRDefault="00000000" w:rsidRPr="00000000" w14:paraId="0000004B">
            <w:pPr>
              <w:spacing w:line="240" w:lineRule="auto"/>
              <w:jc w:val="both"/>
              <w:rPr/>
            </w:pPr>
            <w:r w:rsidDel="00000000" w:rsidR="00000000" w:rsidRPr="00000000">
              <w:rPr>
                <w:rtl w:val="0"/>
              </w:rPr>
            </w:r>
          </w:p>
        </w:tc>
        <w:tc>
          <w:tcPr>
            <w:gridSpan w:val="2"/>
          </w:tcPr>
          <w:p w:rsidR="00000000" w:rsidDel="00000000" w:rsidP="00000000" w:rsidRDefault="00000000" w:rsidRPr="00000000" w14:paraId="0000004C">
            <w:pPr>
              <w:spacing w:line="240" w:lineRule="auto"/>
              <w:jc w:val="center"/>
              <w:rPr/>
            </w:pPr>
            <w:r w:rsidDel="00000000" w:rsidR="00000000" w:rsidRPr="00000000">
              <w:rPr>
                <w:rtl w:val="0"/>
              </w:rPr>
              <w:t xml:space="preserve">Importe total $UDS</w:t>
            </w:r>
          </w:p>
          <w:p w:rsidR="00000000" w:rsidDel="00000000" w:rsidP="00000000" w:rsidRDefault="00000000" w:rsidRPr="00000000" w14:paraId="0000004D">
            <w:pPr>
              <w:spacing w:line="240" w:lineRule="auto"/>
              <w:jc w:val="center"/>
              <w:rPr/>
            </w:pPr>
            <w:r w:rsidDel="00000000" w:rsidR="00000000" w:rsidRPr="00000000">
              <w:rPr>
                <w:sz w:val="16"/>
                <w:szCs w:val="16"/>
                <w:rtl w:val="0"/>
              </w:rPr>
              <w:t xml:space="preserve">(expresado en moneda Dólar americano)</w:t>
            </w:r>
            <w:r w:rsidDel="00000000" w:rsidR="00000000" w:rsidRPr="00000000">
              <w:rPr>
                <w:rtl w:val="0"/>
              </w:rPr>
            </w:r>
          </w:p>
        </w:tc>
      </w:tr>
      <w:tr>
        <w:trPr>
          <w:cantSplit w:val="0"/>
          <w:tblHeader w:val="0"/>
        </w:trPr>
        <w:tc>
          <w:tcPr/>
          <w:p w:rsidR="00000000" w:rsidDel="00000000" w:rsidP="00000000" w:rsidRDefault="00000000" w:rsidRPr="00000000" w14:paraId="0000004F">
            <w:pPr>
              <w:spacing w:line="240" w:lineRule="auto"/>
              <w:jc w:val="both"/>
              <w:rPr/>
            </w:pPr>
            <w:r w:rsidDel="00000000" w:rsidR="00000000" w:rsidRPr="00000000">
              <w:rPr>
                <w:rtl w:val="0"/>
              </w:rPr>
              <w:t xml:space="preserve">CAPEX </w:t>
            </w:r>
          </w:p>
        </w:tc>
        <w:tc>
          <w:tcPr/>
          <w:p w:rsidR="00000000" w:rsidDel="00000000" w:rsidP="00000000" w:rsidRDefault="00000000" w:rsidRPr="00000000" w14:paraId="00000050">
            <w:pPr>
              <w:spacing w:line="240" w:lineRule="auto"/>
              <w:jc w:val="both"/>
              <w:rPr/>
            </w:pPr>
            <w:r w:rsidDel="00000000" w:rsidR="00000000" w:rsidRPr="00000000">
              <w:rPr>
                <w:rtl w:val="0"/>
              </w:rPr>
              <w:t xml:space="preserve">0 mensuales</w:t>
            </w:r>
          </w:p>
        </w:tc>
        <w:tc>
          <w:tcPr/>
          <w:p w:rsidR="00000000" w:rsidDel="00000000" w:rsidP="00000000" w:rsidRDefault="00000000" w:rsidRPr="00000000" w14:paraId="00000051">
            <w:pPr>
              <w:spacing w:line="240" w:lineRule="auto"/>
              <w:jc w:val="both"/>
              <w:rPr/>
            </w:pPr>
            <w:r w:rsidDel="00000000" w:rsidR="00000000" w:rsidRPr="00000000">
              <w:rPr>
                <w:rtl w:val="0"/>
              </w:rPr>
              <w:t xml:space="preserve">0 anuales</w:t>
            </w:r>
          </w:p>
        </w:tc>
      </w:tr>
      <w:tr>
        <w:trPr>
          <w:cantSplit w:val="0"/>
          <w:tblHeader w:val="0"/>
        </w:trPr>
        <w:tc>
          <w:tcPr/>
          <w:p w:rsidR="00000000" w:rsidDel="00000000" w:rsidP="00000000" w:rsidRDefault="00000000" w:rsidRPr="00000000" w14:paraId="00000052">
            <w:pPr>
              <w:spacing w:line="240" w:lineRule="auto"/>
              <w:jc w:val="both"/>
              <w:rPr/>
            </w:pPr>
            <w:r w:rsidDel="00000000" w:rsidR="00000000" w:rsidRPr="00000000">
              <w:rPr>
                <w:rtl w:val="0"/>
              </w:rPr>
              <w:t xml:space="preserve">OPEX</w:t>
            </w:r>
          </w:p>
        </w:tc>
        <w:tc>
          <w:tcPr/>
          <w:p w:rsidR="00000000" w:rsidDel="00000000" w:rsidP="00000000" w:rsidRDefault="00000000" w:rsidRPr="00000000" w14:paraId="00000053">
            <w:pPr>
              <w:spacing w:line="240" w:lineRule="auto"/>
              <w:jc w:val="both"/>
              <w:rPr/>
            </w:pPr>
            <w:r w:rsidDel="00000000" w:rsidR="00000000" w:rsidRPr="00000000">
              <w:rPr>
                <w:rtl w:val="0"/>
              </w:rPr>
              <w:t xml:space="preserve">6.240,59 mensuales</w:t>
            </w:r>
          </w:p>
        </w:tc>
        <w:tc>
          <w:tcPr/>
          <w:p w:rsidR="00000000" w:rsidDel="00000000" w:rsidP="00000000" w:rsidRDefault="00000000" w:rsidRPr="00000000" w14:paraId="00000054">
            <w:pPr>
              <w:spacing w:line="240" w:lineRule="auto"/>
              <w:jc w:val="both"/>
              <w:rPr/>
            </w:pPr>
            <w:r w:rsidDel="00000000" w:rsidR="00000000" w:rsidRPr="00000000">
              <w:rPr>
                <w:rtl w:val="0"/>
              </w:rPr>
              <w:t xml:space="preserve">74.887,08 anuales</w:t>
            </w:r>
          </w:p>
        </w:tc>
      </w:tr>
      <w:tr>
        <w:trPr>
          <w:cantSplit w:val="0"/>
          <w:tblHeader w:val="0"/>
        </w:trPr>
        <w:tc>
          <w:tcPr/>
          <w:p w:rsidR="00000000" w:rsidDel="00000000" w:rsidP="00000000" w:rsidRDefault="00000000" w:rsidRPr="00000000" w14:paraId="00000055">
            <w:pPr>
              <w:spacing w:line="240" w:lineRule="auto"/>
              <w:jc w:val="both"/>
              <w:rPr/>
            </w:pPr>
            <w:r w:rsidDel="00000000" w:rsidR="00000000" w:rsidRPr="00000000">
              <w:rPr>
                <w:rtl w:val="0"/>
              </w:rPr>
              <w:t xml:space="preserve">TCO (2 años de vida útil)</w:t>
            </w:r>
          </w:p>
        </w:tc>
        <w:tc>
          <w:tcPr>
            <w:gridSpan w:val="2"/>
          </w:tcPr>
          <w:p w:rsidR="00000000" w:rsidDel="00000000" w:rsidP="00000000" w:rsidRDefault="00000000" w:rsidRPr="00000000" w14:paraId="00000056">
            <w:pPr>
              <w:spacing w:line="240" w:lineRule="auto"/>
              <w:jc w:val="both"/>
              <w:rPr/>
            </w:pPr>
            <w:r w:rsidDel="00000000" w:rsidR="00000000" w:rsidRPr="00000000">
              <w:rPr>
                <w:rtl w:val="0"/>
              </w:rPr>
              <w:t xml:space="preserve">149.774,16</w:t>
            </w:r>
          </w:p>
        </w:tc>
      </w:tr>
      <w:tr>
        <w:trPr>
          <w:cantSplit w:val="0"/>
          <w:tblHeader w:val="0"/>
        </w:trPr>
        <w:tc>
          <w:tcPr/>
          <w:p w:rsidR="00000000" w:rsidDel="00000000" w:rsidP="00000000" w:rsidRDefault="00000000" w:rsidRPr="00000000" w14:paraId="00000058">
            <w:pPr>
              <w:spacing w:line="240" w:lineRule="auto"/>
              <w:jc w:val="right"/>
              <w:rPr/>
            </w:pPr>
            <w:r w:rsidDel="00000000" w:rsidR="00000000" w:rsidRPr="00000000">
              <w:rPr>
                <w:rtl w:val="0"/>
              </w:rPr>
              <w:t xml:space="preserve">Total</w:t>
            </w:r>
          </w:p>
        </w:tc>
        <w:tc>
          <w:tcPr/>
          <w:p w:rsidR="00000000" w:rsidDel="00000000" w:rsidP="00000000" w:rsidRDefault="00000000" w:rsidRPr="00000000" w14:paraId="00000059">
            <w:pPr>
              <w:spacing w:line="240" w:lineRule="auto"/>
              <w:jc w:val="both"/>
              <w:rPr/>
            </w:pPr>
            <w:r w:rsidDel="00000000" w:rsidR="00000000" w:rsidRPr="00000000">
              <w:rPr>
                <w:rtl w:val="0"/>
              </w:rPr>
              <w:t xml:space="preserve">6.240,59 mensuales</w:t>
            </w:r>
          </w:p>
        </w:tc>
        <w:tc>
          <w:tcPr/>
          <w:p w:rsidR="00000000" w:rsidDel="00000000" w:rsidP="00000000" w:rsidRDefault="00000000" w:rsidRPr="00000000" w14:paraId="0000005A">
            <w:pPr>
              <w:spacing w:line="240" w:lineRule="auto"/>
              <w:jc w:val="both"/>
              <w:rPr/>
            </w:pPr>
            <w:r w:rsidDel="00000000" w:rsidR="00000000" w:rsidRPr="00000000">
              <w:rPr>
                <w:rtl w:val="0"/>
              </w:rPr>
              <w:t xml:space="preserve">74.887,08 anuales</w:t>
            </w:r>
          </w:p>
        </w:tc>
      </w:tr>
    </w:tbl>
    <w:p w:rsidR="00000000" w:rsidDel="00000000" w:rsidP="00000000" w:rsidRDefault="00000000" w:rsidRPr="00000000" w14:paraId="0000005B">
      <w:pPr>
        <w:spacing w:line="240" w:lineRule="auto"/>
        <w:jc w:val="both"/>
        <w:rPr/>
      </w:pPr>
      <w:r w:rsidDel="00000000" w:rsidR="00000000" w:rsidRPr="00000000">
        <w:rPr>
          <w:rtl w:val="0"/>
        </w:rPr>
      </w:r>
    </w:p>
    <w:p w:rsidR="00000000" w:rsidDel="00000000" w:rsidP="00000000" w:rsidRDefault="00000000" w:rsidRPr="00000000" w14:paraId="0000005C">
      <w:pPr>
        <w:spacing w:line="240" w:lineRule="auto"/>
        <w:jc w:val="both"/>
        <w:rPr/>
      </w:pPr>
      <w:r w:rsidDel="00000000" w:rsidR="00000000" w:rsidRPr="00000000">
        <w:rPr>
          <w:rtl w:val="0"/>
        </w:rPr>
        <w:t xml:space="preserve">Los gastos de capital (CAPEX) es 0 debido a que el RDBMS es open source, en cuanto a los gastos operativos (OPEX) se tiene en cuenta el sueldo del DBA y el costo por alojar en la nube.</w:t>
      </w:r>
    </w:p>
    <w:p w:rsidR="00000000" w:rsidDel="00000000" w:rsidP="00000000" w:rsidRDefault="00000000" w:rsidRPr="00000000" w14:paraId="0000005D">
      <w:pPr>
        <w:pStyle w:val="Heading2"/>
        <w:rPr/>
      </w:pPr>
      <w:bookmarkStart w:colFirst="0" w:colLast="0" w:name="_heading=h.4d34og8" w:id="8"/>
      <w:bookmarkEnd w:id="8"/>
      <w:r w:rsidDel="00000000" w:rsidR="00000000" w:rsidRPr="00000000">
        <w:rPr>
          <w:rtl w:val="0"/>
        </w:rPr>
        <w:t xml:space="preserve">Conclusiones</w:t>
      </w:r>
    </w:p>
    <w:p w:rsidR="00000000" w:rsidDel="00000000" w:rsidP="00000000" w:rsidRDefault="00000000" w:rsidRPr="00000000" w14:paraId="0000005E">
      <w:pPr>
        <w:ind w:left="360" w:firstLine="0"/>
        <w:jc w:val="both"/>
        <w:rPr/>
      </w:pPr>
      <w:r w:rsidDel="00000000" w:rsidR="00000000" w:rsidRPr="00000000">
        <w:rPr>
          <w:rtl w:val="0"/>
        </w:rPr>
        <w:t xml:space="preserve">En conclusión, si se compara el nulo costo de licencia de PostgreSQL, el costo del hardware y el mantenimiento del mismo on premise, contra los costos en cualquiera de los tres servicios de alojamiento en la nube, no consideramos que sea rentable salvo que se necesite encarecidamente alguna de las ventajas de la nube; véase la suma escalabilidad y flexibidad de los recursos, frente a tener que adquirir hardware nuevo, el mantenimiento y las actualizaciones automáticas, la durabilidad garantizada de los datos ante desastres, poder ajustar costos en base al uso, la facilidad de monitoreo y gestión en tiempo real, etc.</w:t>
      </w:r>
    </w:p>
    <w:p w:rsidR="00000000" w:rsidDel="00000000" w:rsidP="00000000" w:rsidRDefault="00000000" w:rsidRPr="00000000" w14:paraId="0000005F">
      <w:pPr>
        <w:ind w:left="360" w:firstLine="0"/>
        <w:jc w:val="both"/>
        <w:rPr/>
      </w:pPr>
      <w:r w:rsidDel="00000000" w:rsidR="00000000" w:rsidRPr="00000000">
        <w:rPr>
          <w:rtl w:val="0"/>
        </w:rPr>
        <w:t xml:space="preserve">Por otra parte, si tuviéramos que elegir entre los servicios en la nube, el grupo decidió que lo óptimo sería Microsoft Azure (Azure Database for PostgreSQL) debido a su bajo costo, posibilidad de decidir acerca de la redundancia a nivel GRS (almacenamiento con redundancia geográfica) aparte de descuento por 1 año de reserva y posibilidad de pago por adelantado/mensual.</w:t>
      </w:r>
    </w:p>
    <w:p w:rsidR="00000000" w:rsidDel="00000000" w:rsidP="00000000" w:rsidRDefault="00000000" w:rsidRPr="00000000" w14:paraId="00000060">
      <w:pPr>
        <w:pStyle w:val="Heading2"/>
        <w:rPr/>
      </w:pPr>
      <w:bookmarkStart w:colFirst="0" w:colLast="0" w:name="_heading=h.2s8eyo1" w:id="9"/>
      <w:bookmarkEnd w:id="9"/>
      <w:r w:rsidDel="00000000" w:rsidR="00000000" w:rsidRPr="00000000">
        <w:rPr>
          <w:rtl w:val="0"/>
        </w:rPr>
        <w:t xml:space="preserve">Bibliografía </w:t>
      </w:r>
    </w:p>
    <w:p w:rsidR="00000000" w:rsidDel="00000000" w:rsidP="00000000" w:rsidRDefault="00000000" w:rsidRPr="00000000" w14:paraId="00000061">
      <w:pPr>
        <w:spacing w:line="276" w:lineRule="auto"/>
        <w:rPr/>
      </w:pPr>
      <w:hyperlink r:id="rId10">
        <w:r w:rsidDel="00000000" w:rsidR="00000000" w:rsidRPr="00000000">
          <w:rPr>
            <w:color w:val="0563c1"/>
            <w:u w:val="single"/>
            <w:rtl w:val="0"/>
          </w:rPr>
          <w:t xml:space="preserve">Tecnologías IaaS, PaaS, SaaS</w:t>
        </w:r>
      </w:hyperlink>
      <w:r w:rsidDel="00000000" w:rsidR="00000000" w:rsidRPr="00000000">
        <w:rPr>
          <w:rtl w:val="0"/>
        </w:rPr>
        <w:br w:type="textWrapping"/>
      </w:r>
      <w:hyperlink r:id="rId11">
        <w:r w:rsidDel="00000000" w:rsidR="00000000" w:rsidRPr="00000000">
          <w:rPr>
            <w:color w:val="0563c1"/>
            <w:u w:val="single"/>
            <w:rtl w:val="0"/>
          </w:rPr>
          <w:t xml:space="preserve">Redundancia de los datos</w:t>
        </w:r>
      </w:hyperlink>
      <w:r w:rsidDel="00000000" w:rsidR="00000000" w:rsidRPr="00000000">
        <w:rPr>
          <w:rtl w:val="0"/>
        </w:rPr>
        <w:br w:type="textWrapping"/>
      </w:r>
      <w:hyperlink r:id="rId12">
        <w:r w:rsidDel="00000000" w:rsidR="00000000" w:rsidRPr="00000000">
          <w:rPr>
            <w:color w:val="0563c1"/>
            <w:u w:val="single"/>
            <w:rtl w:val="0"/>
          </w:rPr>
          <w:t xml:space="preserve">Gastos de un proyecto</w:t>
        </w:r>
      </w:hyperlink>
      <w:r w:rsidDel="00000000" w:rsidR="00000000" w:rsidRPr="00000000">
        <w:rPr>
          <w:rtl w:val="0"/>
        </w:rPr>
        <w:br w:type="textWrapping"/>
      </w:r>
      <w:hyperlink r:id="rId13">
        <w:r w:rsidDel="00000000" w:rsidR="00000000" w:rsidRPr="00000000">
          <w:rPr>
            <w:color w:val="0563c1"/>
            <w:u w:val="single"/>
            <w:rtl w:val="0"/>
          </w:rPr>
          <w:t xml:space="preserve">Calculadora de Google Cloud</w:t>
        </w:r>
      </w:hyperlink>
      <w:r w:rsidDel="00000000" w:rsidR="00000000" w:rsidRPr="00000000">
        <w:rPr>
          <w:color w:val="0563c1"/>
          <w:u w:val="single"/>
          <w:rtl w:val="0"/>
        </w:rPr>
        <w:t xml:space="preserve"> </w:t>
        <w:br w:type="textWrapping"/>
      </w:r>
      <w:hyperlink r:id="rId14">
        <w:r w:rsidDel="00000000" w:rsidR="00000000" w:rsidRPr="00000000">
          <w:rPr>
            <w:color w:val="0563c1"/>
            <w:u w:val="single"/>
            <w:rtl w:val="0"/>
          </w:rPr>
          <w:t xml:space="preserve">Calculadora de Microsoft Azure</w:t>
        </w:r>
      </w:hyperlink>
      <w:r w:rsidDel="00000000" w:rsidR="00000000" w:rsidRPr="00000000">
        <w:rPr>
          <w:color w:val="0563c1"/>
          <w:u w:val="single"/>
          <w:rtl w:val="0"/>
        </w:rPr>
        <w:br w:type="textWrapping"/>
      </w:r>
      <w:hyperlink r:id="rId15">
        <w:r w:rsidDel="00000000" w:rsidR="00000000" w:rsidRPr="00000000">
          <w:rPr>
            <w:color w:val="0563c1"/>
            <w:u w:val="single"/>
            <w:rtl w:val="0"/>
          </w:rPr>
          <w:t xml:space="preserve">Calculadora de Amazon Web Services</w:t>
        </w:r>
      </w:hyperlink>
      <w:r w:rsidDel="00000000" w:rsidR="00000000" w:rsidRPr="00000000">
        <w:rPr>
          <w:rtl w:val="0"/>
        </w:rPr>
        <w:br w:type="textWrapping"/>
      </w:r>
      <w:hyperlink r:id="rId16">
        <w:r w:rsidDel="00000000" w:rsidR="00000000" w:rsidRPr="00000000">
          <w:rPr>
            <w:color w:val="0563c1"/>
            <w:u w:val="single"/>
            <w:rtl w:val="0"/>
          </w:rPr>
          <w:t xml:space="preserve">Jobleads - Database Administrator</w:t>
        </w:r>
      </w:hyperlink>
      <w:r w:rsidDel="00000000" w:rsidR="00000000" w:rsidRPr="00000000">
        <w:rPr>
          <w:rtl w:val="0"/>
        </w:rPr>
        <w:br w:type="textWrapping"/>
      </w:r>
      <w:hyperlink r:id="rId17">
        <w:r w:rsidDel="00000000" w:rsidR="00000000" w:rsidRPr="00000000">
          <w:rPr>
            <w:color w:val="0563c1"/>
            <w:u w:val="single"/>
            <w:rtl w:val="0"/>
          </w:rPr>
          <w:t xml:space="preserve">J</w:t>
        </w:r>
      </w:hyperlink>
      <w:hyperlink r:id="rId18">
        <w:r w:rsidDel="00000000" w:rsidR="00000000" w:rsidRPr="00000000">
          <w:rPr>
            <w:color w:val="0563c1"/>
            <w:u w:val="single"/>
            <w:rtl w:val="0"/>
          </w:rPr>
          <w:t xml:space="preserve">obleads - DBA Ssr</w:t>
        </w:r>
      </w:hyperlink>
      <w:r w:rsidDel="00000000" w:rsidR="00000000" w:rsidRPr="00000000">
        <w:rPr>
          <w:rtl w:val="0"/>
        </w:rPr>
      </w:r>
    </w:p>
    <w:sectPr>
      <w:headerReference r:id="rId19" w:type="default"/>
      <w:footerReference r:id="rId20" w:type="default"/>
      <w:pgSz w:h="15840" w:w="12240" w:orient="portrait"/>
      <w:pgMar w:bottom="1440" w:top="1440" w:left="1440" w:right="1440"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6"/>
      <w:gridCol w:w="3117"/>
      <w:gridCol w:w="3117"/>
      <w:tblGridChange w:id="0">
        <w:tblGrid>
          <w:gridCol w:w="3116"/>
          <w:gridCol w:w="3117"/>
          <w:gridCol w:w="3117"/>
        </w:tblGrid>
      </w:tblGridChange>
    </w:tblGrid>
    <w:tr>
      <w:trPr>
        <w:cantSplit w:val="0"/>
        <w:tblHeader w:val="0"/>
      </w:trPr>
      <w:tc>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Equipo 06</w:t>
          </w:r>
        </w:p>
      </w:tc>
      <w:tc>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Estimacion de costos</w:t>
          </w:r>
        </w:p>
      </w:tc>
      <w:tc>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Aurora SA.</w:t>
          </w:r>
        </w:p>
      </w:tc>
    </w:tr>
  </w:tbl>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9C3D55"/>
    <w:pPr>
      <w:spacing w:after="200" w:line="276" w:lineRule="auto"/>
    </w:pPr>
    <w:rPr/>
  </w:style>
  <w:style w:type="paragraph" w:styleId="Ttulo1">
    <w:name w:val="heading 1"/>
    <w:basedOn w:val="Normal"/>
    <w:next w:val="Normal"/>
    <w:link w:val="Ttulo1Car"/>
    <w:uiPriority w:val="9"/>
    <w:qFormat w:val="1"/>
    <w:rsid w:val="00F432F1"/>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Ttulo2">
    <w:name w:val="heading 2"/>
    <w:basedOn w:val="Normal"/>
    <w:next w:val="Normal"/>
    <w:link w:val="Ttulo2Car"/>
    <w:uiPriority w:val="9"/>
    <w:unhideWhenUsed w:val="1"/>
    <w:qFormat w:val="1"/>
    <w:rsid w:val="001448EC"/>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paragraph" w:styleId="Ttulo3">
    <w:name w:val="heading 3"/>
    <w:basedOn w:val="Normal"/>
    <w:next w:val="Normal"/>
    <w:link w:val="Ttulo3Car"/>
    <w:uiPriority w:val="9"/>
    <w:unhideWhenUsed w:val="1"/>
    <w:qFormat w:val="1"/>
    <w:rsid w:val="00D32553"/>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165BD6"/>
    <w:pPr>
      <w:tabs>
        <w:tab w:val="center" w:pos="4513"/>
        <w:tab w:val="right" w:pos="9026"/>
      </w:tabs>
      <w:spacing w:after="0" w:line="240" w:lineRule="auto"/>
    </w:pPr>
  </w:style>
  <w:style w:type="character" w:styleId="EncabezadoCar" w:customStyle="1">
    <w:name w:val="Encabezado Car"/>
    <w:basedOn w:val="Fuentedeprrafopredeter"/>
    <w:link w:val="Encabezado"/>
    <w:uiPriority w:val="99"/>
    <w:rsid w:val="00165BD6"/>
    <w:rPr/>
  </w:style>
  <w:style w:type="paragraph" w:styleId="Piedepgina">
    <w:name w:val="footer"/>
    <w:basedOn w:val="Normal"/>
    <w:link w:val="PiedepginaCar"/>
    <w:uiPriority w:val="99"/>
    <w:unhideWhenUsed w:val="1"/>
    <w:rsid w:val="00165BD6"/>
    <w:pPr>
      <w:tabs>
        <w:tab w:val="center" w:pos="4513"/>
        <w:tab w:val="right" w:pos="9026"/>
      </w:tabs>
      <w:spacing w:after="0" w:line="240" w:lineRule="auto"/>
    </w:pPr>
  </w:style>
  <w:style w:type="character" w:styleId="PiedepginaCar" w:customStyle="1">
    <w:name w:val="Pie de página Car"/>
    <w:basedOn w:val="Fuentedeprrafopredeter"/>
    <w:link w:val="Piedepgina"/>
    <w:uiPriority w:val="99"/>
    <w:rsid w:val="00165BD6"/>
    <w:rPr/>
  </w:style>
  <w:style w:type="table" w:styleId="Tablaconcuadrcula">
    <w:name w:val="Table Grid"/>
    <w:basedOn w:val="Tablanormal"/>
    <w:uiPriority w:val="39"/>
    <w:rsid w:val="00165BD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rrafodelista">
    <w:name w:val="List Paragraph"/>
    <w:basedOn w:val="Normal"/>
    <w:uiPriority w:val="34"/>
    <w:qFormat w:val="1"/>
    <w:rsid w:val="00DB11D7"/>
    <w:pPr>
      <w:spacing w:after="0"/>
      <w:ind w:left="720"/>
      <w:contextualSpacing w:val="1"/>
    </w:pPr>
    <w:rPr>
      <w:rFonts w:ascii="Arial" w:cs="Arial" w:eastAsia="Arial" w:hAnsi="Arial"/>
      <w:lang w:eastAsia="es-AR" w:val="es-419"/>
    </w:rPr>
  </w:style>
  <w:style w:type="character" w:styleId="Ttulo2Car" w:customStyle="1">
    <w:name w:val="Título 2 Car"/>
    <w:basedOn w:val="Fuentedeprrafopredeter"/>
    <w:link w:val="Ttulo2"/>
    <w:uiPriority w:val="9"/>
    <w:rsid w:val="001448EC"/>
    <w:rPr>
      <w:rFonts w:asciiTheme="majorHAnsi" w:cstheme="majorBidi" w:eastAsiaTheme="majorEastAsia" w:hAnsiTheme="majorHAnsi"/>
      <w:color w:val="2f5496" w:themeColor="accent1" w:themeShade="0000BF"/>
      <w:sz w:val="26"/>
      <w:szCs w:val="26"/>
    </w:rPr>
  </w:style>
  <w:style w:type="character" w:styleId="Ttulo3Car" w:customStyle="1">
    <w:name w:val="Título 3 Car"/>
    <w:basedOn w:val="Fuentedeprrafopredeter"/>
    <w:link w:val="Ttulo3"/>
    <w:uiPriority w:val="9"/>
    <w:rsid w:val="00D32553"/>
    <w:rPr>
      <w:rFonts w:asciiTheme="majorHAnsi" w:cstheme="majorBidi" w:eastAsiaTheme="majorEastAsia" w:hAnsiTheme="majorHAnsi"/>
      <w:color w:val="1f3763" w:themeColor="accent1" w:themeShade="00007F"/>
      <w:sz w:val="24"/>
      <w:szCs w:val="24"/>
    </w:rPr>
  </w:style>
  <w:style w:type="character" w:styleId="Ttulo1Car" w:customStyle="1">
    <w:name w:val="Título 1 Car"/>
    <w:basedOn w:val="Fuentedeprrafopredeter"/>
    <w:link w:val="Ttulo1"/>
    <w:uiPriority w:val="9"/>
    <w:rsid w:val="00F432F1"/>
    <w:rPr>
      <w:rFonts w:asciiTheme="majorHAnsi" w:cstheme="majorBidi" w:eastAsiaTheme="majorEastAsia" w:hAnsiTheme="majorHAnsi"/>
      <w:color w:val="2f5496" w:themeColor="accent1" w:themeShade="0000BF"/>
      <w:sz w:val="32"/>
      <w:szCs w:val="32"/>
    </w:rPr>
  </w:style>
  <w:style w:type="paragraph" w:styleId="TtuloTDC">
    <w:name w:val="TOC Heading"/>
    <w:basedOn w:val="Ttulo1"/>
    <w:next w:val="Normal"/>
    <w:uiPriority w:val="39"/>
    <w:unhideWhenUsed w:val="1"/>
    <w:qFormat w:val="1"/>
    <w:rsid w:val="00F432F1"/>
    <w:pPr>
      <w:spacing w:line="259" w:lineRule="auto"/>
      <w:outlineLvl w:val="9"/>
    </w:pPr>
    <w:rPr>
      <w:lang w:eastAsia="es-AR"/>
    </w:rPr>
  </w:style>
  <w:style w:type="paragraph" w:styleId="TDC2">
    <w:name w:val="toc 2"/>
    <w:basedOn w:val="Normal"/>
    <w:next w:val="Normal"/>
    <w:autoRedefine w:val="1"/>
    <w:uiPriority w:val="39"/>
    <w:unhideWhenUsed w:val="1"/>
    <w:rsid w:val="00F432F1"/>
    <w:pPr>
      <w:spacing w:after="100"/>
      <w:ind w:left="220"/>
    </w:pPr>
  </w:style>
  <w:style w:type="paragraph" w:styleId="TDC3">
    <w:name w:val="toc 3"/>
    <w:basedOn w:val="Normal"/>
    <w:next w:val="Normal"/>
    <w:autoRedefine w:val="1"/>
    <w:uiPriority w:val="39"/>
    <w:unhideWhenUsed w:val="1"/>
    <w:rsid w:val="00F432F1"/>
    <w:pPr>
      <w:spacing w:after="100"/>
      <w:ind w:left="440"/>
    </w:pPr>
  </w:style>
  <w:style w:type="character" w:styleId="Hipervnculo">
    <w:name w:val="Hyperlink"/>
    <w:basedOn w:val="Fuentedeprrafopredeter"/>
    <w:uiPriority w:val="99"/>
    <w:unhideWhenUsed w:val="1"/>
    <w:rsid w:val="00F432F1"/>
    <w:rPr>
      <w:color w:val="0563c1" w:themeColor="hyperlink"/>
      <w:u w:val="single"/>
    </w:rPr>
  </w:style>
  <w:style w:type="paragraph" w:styleId="TDC1">
    <w:name w:val="toc 1"/>
    <w:basedOn w:val="Normal"/>
    <w:next w:val="Normal"/>
    <w:autoRedefine w:val="1"/>
    <w:uiPriority w:val="39"/>
    <w:unhideWhenUsed w:val="1"/>
    <w:rsid w:val="00F2533A"/>
    <w:pPr>
      <w:spacing w:after="100"/>
    </w:pPr>
  </w:style>
  <w:style w:type="character" w:styleId="Mencinsinresolver">
    <w:name w:val="Unresolved Mention"/>
    <w:basedOn w:val="Fuentedeprrafopredeter"/>
    <w:uiPriority w:val="99"/>
    <w:semiHidden w:val="1"/>
    <w:unhideWhenUsed w:val="1"/>
    <w:rsid w:val="00665656"/>
    <w:rPr>
      <w:color w:val="605e5c"/>
      <w:shd w:color="auto" w:fill="e1dfdd" w:val="clear"/>
    </w:rPr>
  </w:style>
  <w:style w:type="character" w:styleId="Hipervnculovisitado">
    <w:name w:val="FollowedHyperlink"/>
    <w:basedOn w:val="Fuentedeprrafopredeter"/>
    <w:uiPriority w:val="99"/>
    <w:semiHidden w:val="1"/>
    <w:unhideWhenUsed w:val="1"/>
    <w:rsid w:val="0029237F"/>
    <w:rPr>
      <w:color w:val="954f72" w:themeColor="followed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hyperlink" Target="https://learn.microsoft.com/es-es/azure/storage/common/storage-redundancy" TargetMode="External"/><Relationship Id="rId10" Type="http://schemas.openxmlformats.org/officeDocument/2006/relationships/hyperlink" Target="https://cloud.google.com/products/calculator?dl=CiQ5ZjMwMmU1Yy0yMWNmLTRhM2ItODk5ZC0zZTVkNmVlZmU3MjgQBxokNTMxQzE1MjctNEIzNC00RUM1LTkyMEEtMTVBNTI4M0IwMDc5" TargetMode="External"/><Relationship Id="rId13" Type="http://schemas.openxmlformats.org/officeDocument/2006/relationships/hyperlink" Target="https://calculator.aws/#/" TargetMode="External"/><Relationship Id="rId12" Type="http://schemas.openxmlformats.org/officeDocument/2006/relationships/hyperlink" Target="https://www.incentro.com/es-ES/blog/capex-vs-opex-en-cloud-comput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loud.google.com/products/calculator?hl=es&amp;dl=CiRlZTQ2MmNiMi1mNTc3LTRiMDMtYWIyZC0xYzhhN2NlYzY5ZDUQBxokNDExQUIwNEYtRDUwMy00N0QyLTk0MjgtNTQ3NUUyMUE3RDkx" TargetMode="External"/><Relationship Id="rId15" Type="http://schemas.openxmlformats.org/officeDocument/2006/relationships/hyperlink" Target="https://cloud.google.com/products/calculator?hl=es&amp;dl=CiRlZTQ2MmNiMi1mNTc3LTRiMDMtYWIyZC0xYzhhN2NlYzY5ZDUQBxokNDExQUIwNEYtRDUwMy00N0QyLTk0MjgtNTQ3NUUyMUE3RDkx" TargetMode="External"/><Relationship Id="rId14" Type="http://schemas.openxmlformats.org/officeDocument/2006/relationships/hyperlink" Target="https://azure.microsoft.com/es-es/pricing/calculator/" TargetMode="External"/><Relationship Id="rId17" Type="http://schemas.openxmlformats.org/officeDocument/2006/relationships/hyperlink" Target="about:blank" TargetMode="External"/><Relationship Id="rId16" Type="http://schemas.openxmlformats.org/officeDocument/2006/relationships/hyperlink" Target="https://www.jobleads.com/register/ar/76/ed7d7bcf7f52d3c322c0f6b76c70f098d?jmId=1454&amp;utm_source=jooble%7Cr-jb%7Cc-ar&amp;utm_medium=job-external&amp;utm_campaign=jobs&amp;utm_content=jobmarket-id=1454%7Clandingpage-id=n/a%7Cjob-id=d7d7bcf7f52d3c322c0f6b76c70f098d%7Cjob-workarea=08-01,09%7Cjob-hierarchy=04%7Cjob-salary-benchmark=02%7Cjob-industry=23%7Cjob-location=rosario%7Cjobtitle=database-administrator-(dba)&amp;ccuid=56602476129" TargetMode="External"/><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customXml" Target="../customXML/item1.xml"/><Relationship Id="rId18" Type="http://schemas.openxmlformats.org/officeDocument/2006/relationships/hyperlink" Target="about:blank" TargetMode="External"/><Relationship Id="rId7" Type="http://schemas.openxmlformats.org/officeDocument/2006/relationships/hyperlink" Target="https://calculator.aws/#/" TargetMode="External"/><Relationship Id="rId8" Type="http://schemas.openxmlformats.org/officeDocument/2006/relationships/hyperlink" Target="https://azure.microsoft.com/es-es/pricing/calculato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sQliGdP0xdbFM6duDdYDKl9UWXw==">CgMxLjAyCGguZ2pkZ3hzMgloLjMwajB6bGwyCWguMWZvYjl0ZTIJaC4zem55c2g3MgloLjJldDkycDAyCGgudHlqY3d0MgloLjNkeTZ2a20yCWguMXQzaDVzZjIJaC40ZDM0b2c4MgloLjJzOGV5bzE4AHIhMVh0TFV0NnJOZnA2dTBXd2l6U3U1TmN2TU1QVXlBeC1Y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2024-07-25T17:34:00Z</dcterms:created>
  <dc:creator>Valeria De Rosa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0x010100E0244CD539E758458F9751B276EDBDB5</vt:lpwstr>
  </property>
  <property fmtid="{D5CDD505-2E9C-101B-9397-08002B2CF9AE}" pid="3" name="MediaServiceImageTags">
    <vt:lpwstr>MediaServiceImageTags</vt:lpwstr>
  </property>
</Properties>
</file>