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0FD" w14:textId="13FCAB33" w:rsidR="00013824" w:rsidRDefault="00013824">
      <w:r>
        <w:rPr>
          <w:noProof/>
        </w:rPr>
        <w:drawing>
          <wp:anchor distT="0" distB="0" distL="114300" distR="114300" simplePos="0" relativeHeight="251661312" behindDoc="1" locked="0" layoutInCell="1" allowOverlap="1" wp14:anchorId="41DD3A88" wp14:editId="3801DC54">
            <wp:simplePos x="0" y="0"/>
            <wp:positionH relativeFrom="column">
              <wp:posOffset>19425</wp:posOffset>
            </wp:positionH>
            <wp:positionV relativeFrom="paragraph">
              <wp:posOffset>728374</wp:posOffset>
            </wp:positionV>
            <wp:extent cx="6828634" cy="2666071"/>
            <wp:effectExtent l="57150" t="0" r="48895" b="115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34" cy="26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237E5" wp14:editId="063F14BE">
                <wp:simplePos x="0" y="0"/>
                <wp:positionH relativeFrom="column">
                  <wp:posOffset>8909</wp:posOffset>
                </wp:positionH>
                <wp:positionV relativeFrom="paragraph">
                  <wp:posOffset>348928</wp:posOffset>
                </wp:positionV>
                <wp:extent cx="6835775" cy="38417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38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25" w14:textId="7971B26A" w:rsidR="00220667" w:rsidRPr="00013824" w:rsidRDefault="00220667" w:rsidP="00220667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>Home      Vita        Publications     Public Talks      Consulting</w:t>
                            </w:r>
                            <w:r w:rsidR="00B33F1D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&amp; Media</w:t>
                            </w: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3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7.45pt;width:538.2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" fillcolor="#a5a5a5 [2092]">
                <v:textbox>
                  <w:txbxContent>
                    <w:p w14:paraId="1D8A2125" w14:textId="7971B26A" w:rsidR="00220667" w:rsidRPr="00013824" w:rsidRDefault="00220667" w:rsidP="00220667">
                      <w:pPr>
                        <w:jc w:val="center"/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>Home      Vita        Publications     Public Talks      Consulting</w:t>
                      </w:r>
                      <w:r w:rsidR="00B33F1D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&amp; Media</w:t>
                      </w: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3E29" w14:textId="1F458254" w:rsidR="00013824" w:rsidRDefault="00013824"/>
    <w:p w14:paraId="27403EC2" w14:textId="391A92B8" w:rsidR="00013824" w:rsidRDefault="00013824"/>
    <w:p w14:paraId="3067C392" w14:textId="41A1D618" w:rsidR="00013824" w:rsidRDefault="00013824"/>
    <w:p w14:paraId="33B56601" w14:textId="62BA4D84" w:rsidR="00013824" w:rsidRDefault="00013824"/>
    <w:p w14:paraId="79C59260" w14:textId="46666D4F" w:rsidR="00013824" w:rsidRDefault="00013824"/>
    <w:p w14:paraId="684010CF" w14:textId="5EF1A8A3" w:rsidR="00013824" w:rsidRDefault="00013824"/>
    <w:p w14:paraId="157C6A0E" w14:textId="6FA69BA7" w:rsidR="00013824" w:rsidRDefault="00013824"/>
    <w:p w14:paraId="71C9EFD3" w14:textId="487402AD" w:rsidR="00013824" w:rsidRDefault="00013824"/>
    <w:p w14:paraId="5735B78C" w14:textId="54400295" w:rsidR="00013824" w:rsidRDefault="00013824"/>
    <w:p w14:paraId="27454B49" w14:textId="3E7AB6DF" w:rsidR="00013824" w:rsidRDefault="00013824"/>
    <w:p w14:paraId="6BA4B58F" w14:textId="392158D7" w:rsidR="00013824" w:rsidRDefault="00013824"/>
    <w:p w14:paraId="5891FDB1" w14:textId="0CD784A8" w:rsidR="0063244F" w:rsidRDefault="0063244F"/>
    <w:p w14:paraId="548AE9D6" w14:textId="56D91B1B" w:rsidR="00013824" w:rsidRDefault="00013824"/>
    <w:p w14:paraId="7B25D725" w14:textId="197D97FF" w:rsidR="00013824" w:rsidRDefault="00013824"/>
    <w:p w14:paraId="3C92C711" w14:textId="296982A3" w:rsidR="00013824" w:rsidRDefault="00F221FF" w:rsidP="00F221FF">
      <w:pPr>
        <w:tabs>
          <w:tab w:val="left" w:pos="9543"/>
        </w:tabs>
      </w:pPr>
      <w:r>
        <w:tab/>
      </w:r>
    </w:p>
    <w:p w14:paraId="170F31DC" w14:textId="21E2348D" w:rsidR="00013824" w:rsidRDefault="00AC2720">
      <w:r>
        <w:rPr>
          <w:noProof/>
        </w:rPr>
        <w:drawing>
          <wp:inline distT="0" distB="0" distL="0" distR="0" wp14:anchorId="7E06D1A5" wp14:editId="7D7FADBF">
            <wp:extent cx="6858000" cy="111379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319F" w14:textId="07239370" w:rsidR="00F221FF" w:rsidRDefault="00F221FF"/>
    <w:p w14:paraId="268E0BEE" w14:textId="1CA16530" w:rsidR="00013824" w:rsidRPr="00013824" w:rsidRDefault="00F2195D" w:rsidP="00F221FF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Publications</w:t>
      </w:r>
    </w:p>
    <w:p w14:paraId="7D617ECD" w14:textId="52FF8625" w:rsidR="00013824" w:rsidRPr="00544DB7" w:rsidRDefault="00013824" w:rsidP="00544DB7">
      <w:pPr>
        <w:rPr>
          <w:szCs w:val="24"/>
        </w:rPr>
      </w:pPr>
    </w:p>
    <w:p w14:paraId="2FCA1F45" w14:textId="77777777" w:rsidR="00544DB7" w:rsidRPr="00544DB7" w:rsidRDefault="00544DB7" w:rsidP="00544DB7">
      <w:pPr>
        <w:rPr>
          <w:szCs w:val="24"/>
        </w:rPr>
      </w:pPr>
    </w:p>
    <w:p w14:paraId="556E69FB" w14:textId="5FE0D76F" w:rsidR="00F221FF" w:rsidRPr="00A96F55" w:rsidRDefault="00F2195D" w:rsidP="00F701CF">
      <w:pPr>
        <w:rPr>
          <w:rFonts w:ascii="Source Sans Pro" w:hAnsi="Source Sans Pro"/>
          <w:b/>
          <w:bCs/>
          <w:sz w:val="36"/>
          <w:szCs w:val="36"/>
        </w:rPr>
      </w:pPr>
      <w:r w:rsidRPr="00A96F55">
        <w:rPr>
          <w:rFonts w:ascii="Source Sans Pro" w:hAnsi="Source Sans Pro"/>
          <w:b/>
          <w:bCs/>
          <w:sz w:val="36"/>
          <w:szCs w:val="36"/>
        </w:rPr>
        <w:t>Books</w:t>
      </w:r>
    </w:p>
    <w:p w14:paraId="474CEE20" w14:textId="77777777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6AFF74EC" w14:textId="22DA2436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  <w:r>
        <w:rPr>
          <w:noProof/>
        </w:rPr>
        <w:drawing>
          <wp:inline distT="0" distB="0" distL="0" distR="0" wp14:anchorId="13F41C53" wp14:editId="6417C897">
            <wp:extent cx="800100" cy="1195695"/>
            <wp:effectExtent l="0" t="0" r="0" b="508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06970" cy="12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093" w14:textId="77777777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02172DA2" w14:textId="78F6937B" w:rsidR="00013824" w:rsidRPr="00A96F55" w:rsidRDefault="00000000" w:rsidP="00013824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  <w:hyperlink r:id="rId9" w:history="1">
        <w:r w:rsidR="00F2195D" w:rsidRPr="00A96F55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The Misunderstood Mission of Jean Nicolet: Uncovering the Story of the 1634 Journey</w:t>
        </w:r>
      </w:hyperlink>
      <w:r w:rsidR="00F2195D" w:rsidRPr="00A96F55">
        <w:rPr>
          <w:rFonts w:ascii="Source Sans Pro" w:eastAsia="Times New Roman" w:hAnsi="Source Sans Pro" w:cs="Times New Roman"/>
          <w:sz w:val="28"/>
          <w:szCs w:val="28"/>
        </w:rPr>
        <w:t>.</w:t>
      </w:r>
    </w:p>
    <w:p w14:paraId="1E813E4D" w14:textId="09A5288D" w:rsidR="00F2195D" w:rsidRPr="00A96F55" w:rsidRDefault="00F2195D" w:rsidP="00013824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  <w:r w:rsidRPr="00A96F55">
        <w:rPr>
          <w:rFonts w:ascii="Source Sans Pro" w:eastAsia="Times New Roman" w:hAnsi="Source Sans Pro" w:cs="Times New Roman"/>
          <w:sz w:val="28"/>
          <w:szCs w:val="28"/>
        </w:rPr>
        <w:t>Wisconsin Historical Press, 2018</w:t>
      </w:r>
      <w:r w:rsidR="00D00556">
        <w:rPr>
          <w:rFonts w:ascii="Source Sans Pro" w:eastAsia="Times New Roman" w:hAnsi="Source Sans Pro" w:cs="Times New Roman"/>
          <w:sz w:val="28"/>
          <w:szCs w:val="28"/>
        </w:rPr>
        <w:t>.</w:t>
      </w:r>
    </w:p>
    <w:p w14:paraId="043B7A85" w14:textId="3719B742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7098325E" w14:textId="493F57F0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  <w:r>
        <w:rPr>
          <w:noProof/>
        </w:rPr>
        <w:drawing>
          <wp:inline distT="0" distB="0" distL="0" distR="0" wp14:anchorId="2C0E6E98" wp14:editId="16F243E1">
            <wp:extent cx="799619" cy="1123950"/>
            <wp:effectExtent l="0" t="0" r="635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73" cy="11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55C1" w14:textId="7400BD74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72A500CC" w14:textId="63023A07" w:rsidR="00F2195D" w:rsidRPr="00A96F55" w:rsidRDefault="00000000" w:rsidP="006B625E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  <w:hyperlink r:id="rId12" w:history="1">
        <w:r w:rsidR="00F2195D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 xml:space="preserve">Erich </w:t>
        </w:r>
        <w:proofErr w:type="spellStart"/>
        <w:r w:rsidR="00F2195D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Mercker</w:t>
        </w:r>
        <w:proofErr w:type="spellEnd"/>
        <w:r w:rsidR="00F2195D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 xml:space="preserve"> and Technical Subjects: A Landscape and Industrial </w:t>
        </w:r>
        <w:r w:rsidR="00095B56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Painter</w:t>
        </w:r>
        <w:r w:rsidR="00F2195D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 xml:space="preserve"> in Twentieth</w:t>
        </w:r>
        <w:r w:rsidR="006B625E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 xml:space="preserve"> </w:t>
        </w:r>
        <w:r w:rsidR="00F2195D" w:rsidRPr="002C0E89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Century Germany</w:t>
        </w:r>
      </w:hyperlink>
      <w:r w:rsidR="00F2195D" w:rsidRPr="002C0E89">
        <w:rPr>
          <w:rFonts w:ascii="Source Sans Pro" w:eastAsia="Times New Roman" w:hAnsi="Source Sans Pro" w:cs="Times New Roman"/>
          <w:i/>
          <w:iCs/>
          <w:sz w:val="28"/>
          <w:szCs w:val="28"/>
        </w:rPr>
        <w:t>.</w:t>
      </w:r>
      <w:r w:rsidR="002C0E89" w:rsidRPr="006B625E">
        <w:rPr>
          <w:rStyle w:val="Hyperlink"/>
          <w:rFonts w:ascii="Source Sans Pro" w:eastAsia="Times New Roman" w:hAnsi="Source Sans Pro" w:cs="Times New Roman"/>
          <w:sz w:val="28"/>
          <w:szCs w:val="28"/>
          <w:u w:val="none"/>
        </w:rPr>
        <w:t xml:space="preserve"> </w:t>
      </w:r>
      <w:r w:rsidR="00F2195D" w:rsidRPr="00A96F55">
        <w:rPr>
          <w:rFonts w:ascii="Source Sans Pro" w:eastAsia="Times New Roman" w:hAnsi="Source Sans Pro" w:cs="Times New Roman"/>
          <w:sz w:val="28"/>
          <w:szCs w:val="28"/>
        </w:rPr>
        <w:t>MSOE Press, 2014</w:t>
      </w:r>
      <w:r w:rsidR="00D00556">
        <w:rPr>
          <w:rFonts w:ascii="Source Sans Pro" w:eastAsia="Times New Roman" w:hAnsi="Source Sans Pro" w:cs="Times New Roman"/>
          <w:sz w:val="28"/>
          <w:szCs w:val="28"/>
        </w:rPr>
        <w:t>.</w:t>
      </w:r>
    </w:p>
    <w:p w14:paraId="194DFCE0" w14:textId="5FEAE72E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51B3A654" w14:textId="16FE8870" w:rsidR="00F2195D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402F780D" w14:textId="77777777" w:rsidR="00095B56" w:rsidRDefault="00095B56" w:rsidP="00013824">
      <w:pPr>
        <w:jc w:val="both"/>
        <w:rPr>
          <w:rFonts w:ascii="Source Sans Pro" w:eastAsia="Times New Roman" w:hAnsi="Source Sans Pro" w:cs="Times New Roman"/>
          <w:i/>
          <w:iCs/>
          <w:szCs w:val="24"/>
        </w:rPr>
      </w:pPr>
      <w:r>
        <w:rPr>
          <w:noProof/>
        </w:rPr>
        <w:drawing>
          <wp:inline distT="0" distB="0" distL="0" distR="0" wp14:anchorId="50A2CF75" wp14:editId="56C6527F">
            <wp:extent cx="874864" cy="1333500"/>
            <wp:effectExtent l="0" t="0" r="1905" b="0"/>
            <wp:docPr id="5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01" cy="13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B56">
        <w:rPr>
          <w:rFonts w:ascii="Source Sans Pro" w:eastAsia="Times New Roman" w:hAnsi="Source Sans Pro" w:cs="Times New Roman"/>
          <w:i/>
          <w:iCs/>
          <w:szCs w:val="24"/>
        </w:rPr>
        <w:t xml:space="preserve"> </w:t>
      </w:r>
    </w:p>
    <w:p w14:paraId="17DEDA0F" w14:textId="77777777" w:rsidR="00095B56" w:rsidRDefault="00095B56" w:rsidP="00013824">
      <w:pPr>
        <w:jc w:val="both"/>
        <w:rPr>
          <w:rFonts w:ascii="Source Sans Pro" w:eastAsia="Times New Roman" w:hAnsi="Source Sans Pro" w:cs="Times New Roman"/>
          <w:i/>
          <w:iCs/>
          <w:szCs w:val="24"/>
        </w:rPr>
      </w:pPr>
    </w:p>
    <w:p w14:paraId="68F909BE" w14:textId="47F00D4B" w:rsidR="00095B56" w:rsidRDefault="00000000" w:rsidP="00013824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  <w:hyperlink r:id="rId15" w:history="1">
        <w:r w:rsidR="00095B56" w:rsidRPr="00A96F55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The Battle of Wisconsin Heights, 1832: Thunder on the Wisconsin</w:t>
        </w:r>
      </w:hyperlink>
      <w:r w:rsidR="00095B56" w:rsidRPr="00A96F55">
        <w:rPr>
          <w:rFonts w:ascii="Source Sans Pro" w:eastAsia="Times New Roman" w:hAnsi="Source Sans Pro" w:cs="Times New Roman"/>
          <w:sz w:val="28"/>
          <w:szCs w:val="28"/>
        </w:rPr>
        <w:t>.</w:t>
      </w:r>
      <w:r w:rsidR="002C0E89">
        <w:rPr>
          <w:rFonts w:ascii="Source Sans Pro" w:eastAsia="Times New Roman" w:hAnsi="Source Sans Pro" w:cs="Times New Roman"/>
          <w:sz w:val="28"/>
          <w:szCs w:val="28"/>
        </w:rPr>
        <w:t xml:space="preserve"> </w:t>
      </w:r>
      <w:r w:rsidR="00095B56" w:rsidRPr="00A96F55">
        <w:rPr>
          <w:rFonts w:ascii="Source Sans Pro" w:eastAsia="Times New Roman" w:hAnsi="Source Sans Pro" w:cs="Times New Roman"/>
          <w:sz w:val="28"/>
          <w:szCs w:val="28"/>
        </w:rPr>
        <w:t>History Press</w:t>
      </w:r>
      <w:r w:rsidR="006B625E">
        <w:rPr>
          <w:rFonts w:ascii="Source Sans Pro" w:eastAsia="Times New Roman" w:hAnsi="Source Sans Pro" w:cs="Times New Roman"/>
          <w:sz w:val="28"/>
          <w:szCs w:val="28"/>
        </w:rPr>
        <w:t>-Arcadia</w:t>
      </w:r>
      <w:r w:rsidR="00095B56" w:rsidRPr="00A96F55">
        <w:rPr>
          <w:rFonts w:ascii="Source Sans Pro" w:eastAsia="Times New Roman" w:hAnsi="Source Sans Pro" w:cs="Times New Roman"/>
          <w:sz w:val="28"/>
          <w:szCs w:val="28"/>
        </w:rPr>
        <w:t>, 2011</w:t>
      </w:r>
      <w:r w:rsidR="002C0E89">
        <w:rPr>
          <w:rFonts w:ascii="Source Sans Pro" w:eastAsia="Times New Roman" w:hAnsi="Source Sans Pro" w:cs="Times New Roman"/>
          <w:sz w:val="28"/>
          <w:szCs w:val="28"/>
        </w:rPr>
        <w:t>.</w:t>
      </w:r>
    </w:p>
    <w:p w14:paraId="50116D4B" w14:textId="77777777" w:rsidR="002C0E89" w:rsidRPr="00A96F55" w:rsidRDefault="002C0E89" w:rsidP="00013824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</w:p>
    <w:p w14:paraId="2195F6D7" w14:textId="627B6DB8" w:rsidR="00185114" w:rsidRDefault="00185114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342D2228" w14:textId="1A32950B" w:rsidR="00185114" w:rsidRDefault="00185114" w:rsidP="00013824">
      <w:pPr>
        <w:jc w:val="both"/>
        <w:rPr>
          <w:rFonts w:ascii="Source Sans Pro" w:eastAsia="Times New Roman" w:hAnsi="Source Sans Pro" w:cs="Times New Roman"/>
          <w:szCs w:val="24"/>
        </w:rPr>
      </w:pPr>
      <w:r>
        <w:rPr>
          <w:noProof/>
        </w:rPr>
        <w:drawing>
          <wp:inline distT="0" distB="0" distL="0" distR="0" wp14:anchorId="227F0BCA" wp14:editId="04DD1344">
            <wp:extent cx="898745" cy="1371600"/>
            <wp:effectExtent l="0" t="0" r="0" b="0"/>
            <wp:docPr id="6" name="Picture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78" cy="13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4295" w14:textId="77777777" w:rsidR="00185114" w:rsidRDefault="00185114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7594232E" w14:textId="772BBEE7" w:rsidR="00185114" w:rsidRPr="00A96F55" w:rsidRDefault="00000000" w:rsidP="00013824">
      <w:pPr>
        <w:jc w:val="both"/>
        <w:rPr>
          <w:rFonts w:ascii="Source Sans Pro" w:eastAsia="Times New Roman" w:hAnsi="Source Sans Pro" w:cs="Times New Roman"/>
          <w:sz w:val="28"/>
          <w:szCs w:val="28"/>
        </w:rPr>
      </w:pPr>
      <w:hyperlink r:id="rId18" w:history="1">
        <w:r w:rsidR="00185114" w:rsidRPr="00A96F55">
          <w:rPr>
            <w:rStyle w:val="Hyperlink"/>
            <w:rFonts w:ascii="Source Sans Pro" w:eastAsia="Times New Roman" w:hAnsi="Source Sans Pro" w:cs="Times New Roman"/>
            <w:i/>
            <w:iCs/>
            <w:sz w:val="28"/>
            <w:szCs w:val="28"/>
          </w:rPr>
          <w:t>The Black Hawk War of 1832</w:t>
        </w:r>
      </w:hyperlink>
      <w:r w:rsidR="00185114" w:rsidRPr="00A96F55">
        <w:rPr>
          <w:rFonts w:ascii="Source Sans Pro" w:eastAsia="Times New Roman" w:hAnsi="Source Sans Pro" w:cs="Times New Roman"/>
          <w:sz w:val="28"/>
          <w:szCs w:val="28"/>
        </w:rPr>
        <w:t>.</w:t>
      </w:r>
      <w:r w:rsidR="002C0E89">
        <w:rPr>
          <w:rFonts w:ascii="Source Sans Pro" w:eastAsia="Times New Roman" w:hAnsi="Source Sans Pro" w:cs="Times New Roman"/>
          <w:sz w:val="28"/>
          <w:szCs w:val="28"/>
        </w:rPr>
        <w:t xml:space="preserve"> </w:t>
      </w:r>
      <w:r w:rsidR="00185114" w:rsidRPr="00A96F55">
        <w:rPr>
          <w:rFonts w:ascii="Source Sans Pro" w:eastAsia="Times New Roman" w:hAnsi="Source Sans Pro" w:cs="Times New Roman"/>
          <w:sz w:val="28"/>
          <w:szCs w:val="28"/>
        </w:rPr>
        <w:t>University of Oklahoma Press, 2007</w:t>
      </w:r>
      <w:r w:rsidR="002C0E89">
        <w:rPr>
          <w:rFonts w:ascii="Source Sans Pro" w:eastAsia="Times New Roman" w:hAnsi="Source Sans Pro" w:cs="Times New Roman"/>
          <w:sz w:val="28"/>
          <w:szCs w:val="28"/>
        </w:rPr>
        <w:t>.</w:t>
      </w:r>
    </w:p>
    <w:p w14:paraId="7FCA1F69" w14:textId="08240831" w:rsidR="00185114" w:rsidRDefault="00185114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5F2CA086" w14:textId="0E839FE0" w:rsidR="00F2195D" w:rsidRPr="00F31532" w:rsidRDefault="00F2195D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4424FEFF" w14:textId="3227CC96" w:rsidR="00F31532" w:rsidRDefault="00F31532" w:rsidP="00F31532">
      <w:pPr>
        <w:spacing w:line="360" w:lineRule="auto"/>
        <w:rPr>
          <w:rFonts w:ascii="Source Sans Pro" w:eastAsia="Times New Roman" w:hAnsi="Source Sans Pro"/>
          <w:b/>
          <w:bCs/>
          <w:sz w:val="28"/>
          <w:szCs w:val="28"/>
        </w:rPr>
      </w:pPr>
      <w:r w:rsidRPr="00F31532">
        <w:rPr>
          <w:rFonts w:ascii="Source Sans Pro" w:eastAsia="Times New Roman" w:hAnsi="Source Sans Pro"/>
          <w:b/>
          <w:bCs/>
          <w:sz w:val="28"/>
          <w:szCs w:val="28"/>
        </w:rPr>
        <w:t>A</w:t>
      </w:r>
      <w:r w:rsidR="00185114">
        <w:rPr>
          <w:rFonts w:ascii="Source Sans Pro" w:eastAsia="Times New Roman" w:hAnsi="Source Sans Pro"/>
          <w:b/>
          <w:bCs/>
          <w:sz w:val="28"/>
          <w:szCs w:val="28"/>
        </w:rPr>
        <w:t>rticles</w:t>
      </w:r>
      <w:r w:rsidR="00D00556">
        <w:rPr>
          <w:rFonts w:ascii="Source Sans Pro" w:eastAsia="Times New Roman" w:hAnsi="Source Sans Pro"/>
          <w:b/>
          <w:bCs/>
          <w:sz w:val="28"/>
          <w:szCs w:val="28"/>
        </w:rPr>
        <w:t xml:space="preserve"> &amp; Essays</w:t>
      </w:r>
    </w:p>
    <w:p w14:paraId="3BE05A27" w14:textId="60FE5C35" w:rsidR="008807DD" w:rsidRDefault="008807DD" w:rsidP="00F31532">
      <w:pPr>
        <w:spacing w:line="360" w:lineRule="auto"/>
        <w:rPr>
          <w:rFonts w:ascii="Source Sans Pro" w:eastAsia="Times New Roman" w:hAnsi="Source Sans Pro"/>
          <w:sz w:val="28"/>
          <w:szCs w:val="28"/>
        </w:rPr>
      </w:pPr>
    </w:p>
    <w:p w14:paraId="19245597" w14:textId="0D769A28" w:rsidR="008807DD" w:rsidRDefault="008807DD" w:rsidP="00CF57BC">
      <w:p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8807DD">
        <w:rPr>
          <w:rFonts w:ascii="Source Sans Pro" w:eastAsia="Times New Roman" w:hAnsi="Source Sans Pro"/>
          <w:sz w:val="28"/>
          <w:szCs w:val="28"/>
        </w:rPr>
        <w:t>“</w:t>
      </w:r>
      <w:hyperlink r:id="rId19" w:history="1">
        <w:r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American Indian Resistance to Settler Colonialism in the Western Great Lakes and Upper Mississippi Valley, 1815-1832.” </w:t>
        </w:r>
        <w:r w:rsidRPr="00267237">
          <w:rPr>
            <w:rStyle w:val="Hyperlink"/>
            <w:rFonts w:ascii="Source Sans Pro" w:eastAsia="Times New Roman" w:hAnsi="Source Sans Pro"/>
            <w:i/>
            <w:iCs/>
            <w:sz w:val="28"/>
            <w:szCs w:val="28"/>
          </w:rPr>
          <w:t>Annals of Iowa</w:t>
        </w:r>
        <w:r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 81 (Winter 2022): 3-44</w:t>
        </w:r>
      </w:hyperlink>
      <w:r w:rsidRPr="008807DD">
        <w:rPr>
          <w:rFonts w:ascii="Source Sans Pro" w:eastAsia="Times New Roman" w:hAnsi="Source Sans Pro"/>
          <w:sz w:val="28"/>
          <w:szCs w:val="28"/>
        </w:rPr>
        <w:t>.</w:t>
      </w:r>
    </w:p>
    <w:p w14:paraId="6A88C64A" w14:textId="3F14B266" w:rsidR="008807DD" w:rsidRDefault="008807DD" w:rsidP="008807DD">
      <w:pPr>
        <w:spacing w:line="360" w:lineRule="auto"/>
        <w:ind w:left="720" w:hanging="720"/>
        <w:rPr>
          <w:rFonts w:ascii="Source Sans Pro" w:eastAsia="Times New Roman" w:hAnsi="Source Sans Pro"/>
          <w:sz w:val="28"/>
          <w:szCs w:val="28"/>
        </w:rPr>
      </w:pPr>
    </w:p>
    <w:p w14:paraId="180CCC72" w14:textId="6377530B" w:rsidR="00267237" w:rsidRDefault="00000000" w:rsidP="00CF57BC">
      <w:pPr>
        <w:spacing w:line="360" w:lineRule="auto"/>
        <w:rPr>
          <w:rFonts w:ascii="Source Sans Pro" w:eastAsia="Times New Roman" w:hAnsi="Source Sans Pro"/>
          <w:sz w:val="28"/>
          <w:szCs w:val="28"/>
        </w:rPr>
      </w:pPr>
      <w:hyperlink r:id="rId20" w:history="1">
        <w:r w:rsidR="00267237"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“Quantifying Hitler’s Salon: A Statistical Analysis of Subjects at the Great German Art Exhibition, 1937-1944.” </w:t>
        </w:r>
        <w:r w:rsidR="00267237" w:rsidRPr="00267237">
          <w:rPr>
            <w:rStyle w:val="Hyperlink"/>
            <w:rFonts w:ascii="Source Sans Pro" w:eastAsia="Times New Roman" w:hAnsi="Source Sans Pro"/>
            <w:i/>
            <w:iCs/>
            <w:sz w:val="28"/>
            <w:szCs w:val="28"/>
          </w:rPr>
          <w:t>Humanities Bulletin</w:t>
        </w:r>
        <w:r w:rsidR="00267237"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 4 (2021): 147-167</w:t>
        </w:r>
      </w:hyperlink>
      <w:r w:rsidR="00267237" w:rsidRPr="00267237">
        <w:rPr>
          <w:rFonts w:ascii="Source Sans Pro" w:eastAsia="Times New Roman" w:hAnsi="Source Sans Pro"/>
          <w:sz w:val="28"/>
          <w:szCs w:val="28"/>
        </w:rPr>
        <w:t xml:space="preserve">. </w:t>
      </w:r>
    </w:p>
    <w:p w14:paraId="2B09C75C" w14:textId="47B0D637" w:rsidR="00267237" w:rsidRDefault="00267237" w:rsidP="008807DD">
      <w:pPr>
        <w:spacing w:line="360" w:lineRule="auto"/>
        <w:ind w:left="720" w:hanging="720"/>
        <w:rPr>
          <w:rFonts w:ascii="Source Sans Pro" w:eastAsia="Times New Roman" w:hAnsi="Source Sans Pro"/>
          <w:sz w:val="28"/>
          <w:szCs w:val="28"/>
        </w:rPr>
      </w:pPr>
    </w:p>
    <w:p w14:paraId="6616D4EB" w14:textId="0736A14F" w:rsidR="00267237" w:rsidRDefault="00000000" w:rsidP="00CF57BC">
      <w:pPr>
        <w:spacing w:line="360" w:lineRule="auto"/>
        <w:rPr>
          <w:rFonts w:ascii="Source Sans Pro" w:eastAsia="Times New Roman" w:hAnsi="Source Sans Pro"/>
          <w:sz w:val="28"/>
          <w:szCs w:val="28"/>
        </w:rPr>
      </w:pPr>
      <w:hyperlink r:id="rId21" w:history="1">
        <w:r w:rsidR="00267237"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“Iowa Without Borders: Iowa History from European Contact to Statehood.” </w:t>
        </w:r>
        <w:r w:rsidR="00267237" w:rsidRPr="00267237">
          <w:rPr>
            <w:rStyle w:val="Hyperlink"/>
            <w:rFonts w:ascii="Source Sans Pro" w:eastAsia="Times New Roman" w:hAnsi="Source Sans Pro"/>
            <w:i/>
            <w:iCs/>
            <w:sz w:val="28"/>
            <w:szCs w:val="28"/>
          </w:rPr>
          <w:t>Annals of Iowa</w:t>
        </w:r>
        <w:r w:rsidR="00267237" w:rsidRPr="00267237">
          <w:rPr>
            <w:rStyle w:val="Hyperlink"/>
            <w:rFonts w:ascii="Source Sans Pro" w:eastAsia="Times New Roman" w:hAnsi="Source Sans Pro"/>
            <w:sz w:val="28"/>
            <w:szCs w:val="28"/>
          </w:rPr>
          <w:t xml:space="preserve"> 80 (Fall 2021): 365-371.</w:t>
        </w:r>
      </w:hyperlink>
    </w:p>
    <w:p w14:paraId="0D13B26E" w14:textId="77777777" w:rsidR="00267237" w:rsidRPr="00F31532" w:rsidRDefault="00267237" w:rsidP="008807DD">
      <w:pPr>
        <w:spacing w:line="360" w:lineRule="auto"/>
        <w:ind w:left="720" w:hanging="720"/>
        <w:rPr>
          <w:rFonts w:ascii="Source Sans Pro" w:eastAsia="Times New Roman" w:hAnsi="Source Sans Pro"/>
          <w:sz w:val="28"/>
          <w:szCs w:val="28"/>
        </w:rPr>
      </w:pPr>
    </w:p>
    <w:p w14:paraId="0798EE74" w14:textId="01BCCDCE" w:rsidR="00185114" w:rsidRPr="00A96F55" w:rsidRDefault="00185114" w:rsidP="00CF57BC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lastRenderedPageBreak/>
        <w:t>“‘</w:t>
      </w:r>
      <w:hyperlink r:id="rId22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The Path to Glory is Rough’: The Causes and Course of the Black Hawk War, 1804-1832.” In Dissolving Myths and Legends: Rivalries, Allies, Histories &amp; Cultures that Shaped the Black Hawk War: Papers from the First Annual History Symposium, November 2, 2019. Sheboygan, Wis.: Sheboygan County Historical Research Center, 2020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4330167A" w14:textId="5DCE0D72" w:rsidR="0051306E" w:rsidRDefault="0051306E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44E6A5C8" w14:textId="4E8F4BAA" w:rsidR="00267237" w:rsidRDefault="00000000" w:rsidP="00CF57BC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hyperlink r:id="rId23" w:history="1">
        <w:r w:rsidR="00267237" w:rsidRPr="00267237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“The Misunderstood Mission of Jean Nicolet: Uncovering the Story of the 1634 Journey.” </w:t>
        </w:r>
        <w:r w:rsidR="00267237" w:rsidRPr="00267237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Wisconsin Magazine of History</w:t>
        </w:r>
        <w:r w:rsidR="00267237" w:rsidRPr="00267237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102 (Winter 2018): 50-53.</w:t>
        </w:r>
      </w:hyperlink>
    </w:p>
    <w:p w14:paraId="7A0112EF" w14:textId="77777777" w:rsidR="00267237" w:rsidRPr="00A96F55" w:rsidRDefault="00267237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566F8075" w14:textId="053C0A9D" w:rsidR="00455780" w:rsidRPr="00A96F55" w:rsidRDefault="00455780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4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German Art and Artists in the Grohmann Museum.”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Google Arts and Culture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, 2018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0DB56092" w14:textId="77777777" w:rsidR="00455780" w:rsidRPr="00A96F55" w:rsidRDefault="00455780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3E933766" w14:textId="6053F68E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5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The Grohmann Museum Collection at </w:t>
        </w:r>
        <w:r w:rsidR="006B625E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the 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Milwaukee School of Engineering: An Overview.”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H-Net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, 2017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0B52A4F5" w14:textId="7C8F12DB" w:rsidR="0051306E" w:rsidRPr="00A96F55" w:rsidRDefault="0051306E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17D3632E" w14:textId="0F02CB2F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6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The Scope of Early Twentieth-Century German Industrial Art: Works in the Grohmann Museum of Art.”</w:t>
        </w:r>
        <w:r w:rsidR="00455780"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</w:t>
        </w:r>
        <w:r w:rsidR="00455780"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H-Net</w:t>
        </w:r>
        <w:r w:rsidR="00455780"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, 2017</w:t>
        </w:r>
      </w:hyperlink>
      <w:r w:rsidR="00455780"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6CE37E2E" w14:textId="77777777" w:rsidR="00185114" w:rsidRPr="00A96F55" w:rsidRDefault="00185114" w:rsidP="00F31532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</w:p>
    <w:p w14:paraId="1D9B402D" w14:textId="6E6C8958" w:rsidR="00F31532" w:rsidRPr="00A96F55" w:rsidRDefault="00185114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7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Lonely Sentinel: A Military History of Fort Madison, 1808-1813.”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Annals of Iowa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75 (Summer 2016): 201-233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54DDDEB1" w14:textId="5EB51187" w:rsidR="00185114" w:rsidRPr="00A96F55" w:rsidRDefault="00185114" w:rsidP="00F31532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</w:p>
    <w:p w14:paraId="636E5117" w14:textId="06CCA4DC" w:rsidR="00185114" w:rsidRPr="00A96F55" w:rsidRDefault="00185114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8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Toward the Black Hawk War: The Sauk and Fox Indians and the War of 1812.”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Michigan Historical Review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38 (Spring 2012): 27-52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73DD2FCF" w14:textId="078018A1" w:rsidR="00185114" w:rsidRPr="00A96F55" w:rsidRDefault="00185114" w:rsidP="00185114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583D98DA" w14:textId="3CF43CB6" w:rsidR="00185114" w:rsidRPr="00A96F55" w:rsidRDefault="00185114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29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Erich </w:t>
        </w:r>
        <w:proofErr w:type="spellStart"/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Mercker</w:t>
        </w:r>
        <w:proofErr w:type="spellEnd"/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and ‘Technical Subjects’: Industrial Painting in the Eras of Weimar and Nazi Germany.”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Journal of the Society for Industrial Archeology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34 (2008): 149-164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25101027" w14:textId="55D3286F" w:rsidR="00185114" w:rsidRPr="00A96F55" w:rsidRDefault="00185114" w:rsidP="00F31532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</w:p>
    <w:p w14:paraId="20C31FE4" w14:textId="55DCDF14" w:rsidR="0051306E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0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James Duane Doty and Wisconsin’s First Court: The Additional Court of Michigan Territory, 1823 to 1836.”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Wisconsin Magazine of History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86 (Winter 2002-2003): 32-41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1566F6DB" w14:textId="77777777" w:rsidR="00A96F55" w:rsidRPr="00A96F55" w:rsidRDefault="00A96F55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553106E4" w14:textId="1903047B" w:rsidR="00CF57BC" w:rsidRDefault="00000000" w:rsidP="00A7738C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hyperlink r:id="rId31" w:history="1">
        <w:r w:rsidR="00CF57BC" w:rsidRPr="00CF57BC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“The Mixed-Race Métis of the Great Lakes Region and Early Milwaukee.” </w:t>
        </w:r>
        <w:r w:rsidR="00CF57BC" w:rsidRPr="00CF57BC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Milwaukee History</w:t>
        </w:r>
        <w:r w:rsidR="00CF57BC" w:rsidRPr="00CF57BC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25 (Fall-Winter 2002): 45-55.</w:t>
        </w:r>
      </w:hyperlink>
      <w:r w:rsidR="00CF57BC" w:rsidRPr="00CF57BC">
        <w:rPr>
          <w:rFonts w:ascii="Source Sans Pro" w:eastAsia="Times New Roman" w:hAnsi="Source Sans Pro"/>
          <w:bCs/>
          <w:sz w:val="28"/>
          <w:szCs w:val="28"/>
        </w:rPr>
        <w:t xml:space="preserve"> </w:t>
      </w:r>
    </w:p>
    <w:p w14:paraId="04B31C50" w14:textId="77777777" w:rsidR="00CF57BC" w:rsidRDefault="00CF57BC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</w:p>
    <w:p w14:paraId="4834E111" w14:textId="54E2325E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2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Antonio Gramsci and Postcolonial Theory: Toward Useable Definitions and a General Theory for Postcolonial Historians.”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Journal of Commonwealth and Postcolonial Studies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9 (Fall 2002): 95-122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2B91FC53" w14:textId="1A89C775" w:rsidR="0051306E" w:rsidRPr="00A96F55" w:rsidRDefault="0051306E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72C87345" w14:textId="4AB8DC2A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3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A Connecticut Yankee in the Wisconsin Wilderness: Levi Warrington’s Western Odyssey.”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Connecticut History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39 (Spring 2000): 23-38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2C23336C" w14:textId="77777777" w:rsidR="0051306E" w:rsidRPr="00A96F55" w:rsidRDefault="0051306E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0EFB10C9" w14:textId="10BED37C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4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The Thompson Submachine Gun in Ireland During and After the Anglo-Irish War: The New Evidence.”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The Irish Sword: Journal of the Military History Society of Ireland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21 (Winter 1998): 190-218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621CF29B" w14:textId="6CCC1F8F" w:rsidR="0051306E" w:rsidRDefault="0051306E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6DE38F5B" w14:textId="10E19E2C" w:rsidR="00CF57BC" w:rsidRDefault="00000000" w:rsidP="00B67D96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hyperlink r:id="rId35" w:history="1">
        <w:r w:rsidR="00CF57BC" w:rsidRPr="00CF57BC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“A Valuable and Dependable Little Navy: The British Upper Great Lakes Fleet during the American Revolution.” </w:t>
        </w:r>
        <w:r w:rsidR="00CF57BC" w:rsidRPr="00CF57BC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Inland Seas</w:t>
        </w:r>
        <w:r w:rsidR="00CF57BC" w:rsidRPr="00CF57BC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, Part I, 53 (Spring 1997): 68-75; Part II, 53 (Summer 1997): 142-150; Part III, 53 (Fall 1997): 204-207.</w:t>
        </w:r>
      </w:hyperlink>
    </w:p>
    <w:p w14:paraId="0CD4F57C" w14:textId="77777777" w:rsidR="00CF57BC" w:rsidRPr="00A96F55" w:rsidRDefault="00CF57BC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50BFB1A1" w14:textId="1708B4CB" w:rsidR="0051306E" w:rsidRPr="00A96F55" w:rsidRDefault="0051306E" w:rsidP="006B625E">
      <w:p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6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>To Extend Fair and Impartial Justice to the Indian: Native Americans and the Additional Court of Michigan Territory, 1823-1836.” Michigan Historical Review 23 (Fall 1997): 25-48</w:t>
        </w:r>
      </w:hyperlink>
      <w:r w:rsidRPr="00A96F55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155B17FE" w14:textId="77777777" w:rsidR="0051306E" w:rsidRPr="00A96F55" w:rsidRDefault="0051306E" w:rsidP="0051306E">
      <w:pPr>
        <w:spacing w:line="360" w:lineRule="auto"/>
        <w:ind w:left="720" w:hanging="720"/>
        <w:rPr>
          <w:rFonts w:ascii="Source Sans Pro" w:eastAsia="Times New Roman" w:hAnsi="Source Sans Pro"/>
          <w:bCs/>
          <w:sz w:val="28"/>
          <w:szCs w:val="28"/>
        </w:rPr>
      </w:pPr>
    </w:p>
    <w:p w14:paraId="09D28D00" w14:textId="19D686A5" w:rsidR="00185114" w:rsidRPr="00185114" w:rsidRDefault="0051306E" w:rsidP="006B625E">
      <w:pPr>
        <w:spacing w:line="360" w:lineRule="auto"/>
        <w:rPr>
          <w:rFonts w:ascii="Source Sans Pro" w:eastAsia="Times New Roman" w:hAnsi="Source Sans Pro"/>
          <w:bCs/>
        </w:rPr>
      </w:pPr>
      <w:r w:rsidRPr="00A96F55">
        <w:rPr>
          <w:rFonts w:ascii="Source Sans Pro" w:eastAsia="Times New Roman" w:hAnsi="Source Sans Pro"/>
          <w:bCs/>
          <w:sz w:val="28"/>
          <w:szCs w:val="28"/>
        </w:rPr>
        <w:t>“</w:t>
      </w:r>
      <w:hyperlink r:id="rId37" w:history="1"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The Responsibilities Program of the FBI, 1951-1955.” </w:t>
        </w:r>
        <w:r w:rsidRPr="00A96F55">
          <w:rPr>
            <w:rStyle w:val="Hyperlink"/>
            <w:rFonts w:ascii="Source Sans Pro" w:eastAsia="Times New Roman" w:hAnsi="Source Sans Pro"/>
            <w:bCs/>
            <w:i/>
            <w:iCs/>
            <w:sz w:val="28"/>
            <w:szCs w:val="28"/>
          </w:rPr>
          <w:t>The Historian</w:t>
        </w:r>
        <w:r w:rsidRPr="00A96F55">
          <w:rPr>
            <w:rStyle w:val="Hyperlink"/>
            <w:rFonts w:ascii="Source Sans Pro" w:eastAsia="Times New Roman" w:hAnsi="Source Sans Pro"/>
            <w:bCs/>
            <w:sz w:val="28"/>
            <w:szCs w:val="28"/>
          </w:rPr>
          <w:t xml:space="preserve"> 59 (Winter 1997): 347-370</w:t>
        </w:r>
      </w:hyperlink>
      <w:r w:rsidRPr="0051306E">
        <w:rPr>
          <w:rFonts w:ascii="Source Sans Pro" w:eastAsia="Times New Roman" w:hAnsi="Source Sans Pro"/>
          <w:bCs/>
        </w:rPr>
        <w:t>.</w:t>
      </w:r>
    </w:p>
    <w:sectPr w:rsidR="00185114" w:rsidRPr="00185114" w:rsidSect="0022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0F8"/>
    <w:multiLevelType w:val="multilevel"/>
    <w:tmpl w:val="4E2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133"/>
    <w:multiLevelType w:val="multilevel"/>
    <w:tmpl w:val="1BC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156FA"/>
    <w:multiLevelType w:val="multilevel"/>
    <w:tmpl w:val="0EA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C7F86"/>
    <w:multiLevelType w:val="multilevel"/>
    <w:tmpl w:val="256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5162">
    <w:abstractNumId w:val="0"/>
  </w:num>
  <w:num w:numId="2" w16cid:durableId="660741071">
    <w:abstractNumId w:val="1"/>
  </w:num>
  <w:num w:numId="3" w16cid:durableId="360710533">
    <w:abstractNumId w:val="3"/>
  </w:num>
  <w:num w:numId="4" w16cid:durableId="68367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7"/>
    <w:rsid w:val="00010BC7"/>
    <w:rsid w:val="00013824"/>
    <w:rsid w:val="00095B56"/>
    <w:rsid w:val="00185114"/>
    <w:rsid w:val="00220667"/>
    <w:rsid w:val="00267237"/>
    <w:rsid w:val="002C0E89"/>
    <w:rsid w:val="00455780"/>
    <w:rsid w:val="004569D0"/>
    <w:rsid w:val="0051306E"/>
    <w:rsid w:val="00544DB7"/>
    <w:rsid w:val="0063244F"/>
    <w:rsid w:val="006B625E"/>
    <w:rsid w:val="008807DD"/>
    <w:rsid w:val="00A7738C"/>
    <w:rsid w:val="00A96F55"/>
    <w:rsid w:val="00AA486C"/>
    <w:rsid w:val="00AC2720"/>
    <w:rsid w:val="00B33F1D"/>
    <w:rsid w:val="00B67D96"/>
    <w:rsid w:val="00BF18A5"/>
    <w:rsid w:val="00CF57BC"/>
    <w:rsid w:val="00D00556"/>
    <w:rsid w:val="00E7243E"/>
    <w:rsid w:val="00F2195D"/>
    <w:rsid w:val="00F221FF"/>
    <w:rsid w:val="00F31532"/>
    <w:rsid w:val="00F701CF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4B"/>
  <w15:chartTrackingRefBased/>
  <w15:docId w15:val="{EB92CA0D-C0CB-473C-952A-18C4318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cadiapublishing.com/Products/9781609490522" TargetMode="External"/><Relationship Id="rId18" Type="http://schemas.openxmlformats.org/officeDocument/2006/relationships/hyperlink" Target="https://www.oupress.com/books/9782912/the-black-hawk-war-of-1832" TargetMode="External"/><Relationship Id="rId26" Type="http://schemas.openxmlformats.org/officeDocument/2006/relationships/hyperlink" Target="https://networks.h-net.org/node/25767/discussions/245120/scope-early-twentieth-century-german-industrial-art-works-grohman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cademia.edu/57192082/Iowa_without_Borders_Iowa_History_from_European_Contact_to_Statehood" TargetMode="External"/><Relationship Id="rId34" Type="http://schemas.openxmlformats.org/officeDocument/2006/relationships/hyperlink" Target="https://www.academia.edu/37662343/_The_Thompson_Submachine_Gun_in_Ireland_During_and_After_the_Anglo_Irish_War_The_New_Evidence_" TargetMode="External"/><Relationship Id="rId7" Type="http://schemas.openxmlformats.org/officeDocument/2006/relationships/hyperlink" Target="https://shop.wisconsinhistory.org/the-misunderstood-mission-of-jean-nicolet-uncovering-the-story-of-the-1634-journey-3" TargetMode="External"/><Relationship Id="rId12" Type="http://schemas.openxmlformats.org/officeDocument/2006/relationships/hyperlink" Target="https://www.msoe.edu/grohmann-museum/merchandise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networks.h-net.org/node/25767/discussions/639663/grohmann-museum-collection-milwaukee-school-engineering-overview" TargetMode="External"/><Relationship Id="rId33" Type="http://schemas.openxmlformats.org/officeDocument/2006/relationships/hyperlink" Target="https://www.academia.edu/37675419/_A_Connecticut_Yankee_in_the_Wisconsin_Wilderness_Levi_Warringtons_Western_Odyssey_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upress.com/books/9782912/the-black-hawk-war-of-1832" TargetMode="External"/><Relationship Id="rId20" Type="http://schemas.openxmlformats.org/officeDocument/2006/relationships/hyperlink" Target="https://www.journals.lapub.co.uk/index.php/HB/article/view/1984" TargetMode="External"/><Relationship Id="rId29" Type="http://schemas.openxmlformats.org/officeDocument/2006/relationships/hyperlink" Target="https://www.academia.edu/37660419/_Erich_Mercker_and_Technical_Subjects_Industrial_Painting_in_the_Eras_of_Weimar_and_Nazi_Germany_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4.jpeg"/><Relationship Id="rId24" Type="http://schemas.openxmlformats.org/officeDocument/2006/relationships/hyperlink" Target="https://artsandculture.google.com/exhibit/JQKShBIqFFx1KQ" TargetMode="External"/><Relationship Id="rId32" Type="http://schemas.openxmlformats.org/officeDocument/2006/relationships/hyperlink" Target="https://www.academia.edu/37660435/_Antonio_Gramsci_and_Postcolonial_Theory_Toward_Useable_Definitions_and_a_General_Theory_for_Postcolonial_Historians_" TargetMode="External"/><Relationship Id="rId37" Type="http://schemas.openxmlformats.org/officeDocument/2006/relationships/hyperlink" Target="https://www.academia.edu/37663311/_The_Responsibilities_Program_of_the_FBI_1951_1955_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rcadiapublishing.com/Products/9781609490522" TargetMode="External"/><Relationship Id="rId23" Type="http://schemas.openxmlformats.org/officeDocument/2006/relationships/hyperlink" Target="https://www.academia.edu/38615234/The_Misunderstood_Mission_of_Jean_Nicolet_Uncovering_the_Story_of_the_1634_Journey" TargetMode="External"/><Relationship Id="rId28" Type="http://schemas.openxmlformats.org/officeDocument/2006/relationships/hyperlink" Target="https://www.academia.edu/37662359/_Toward_the_Black_Hawk_War_The_Sauk_and_Fox_Indians_and_the_War_of_1812_" TargetMode="External"/><Relationship Id="rId36" Type="http://schemas.openxmlformats.org/officeDocument/2006/relationships/hyperlink" Target="https://www.academia.edu/37662441/_To_Extend_Fair_and_Impartial_Justice_to_the_Indian_Native_Americans_and_the_Additional_Court_Of_Michigan_Territory_1823_1836_" TargetMode="External"/><Relationship Id="rId10" Type="http://schemas.openxmlformats.org/officeDocument/2006/relationships/hyperlink" Target="https://commerce.cashnet.com/cashnetg/selfserve/EditItem.aspx?PC=GM-630B1010+&amp;ItemCount=12" TargetMode="External"/><Relationship Id="rId19" Type="http://schemas.openxmlformats.org/officeDocument/2006/relationships/hyperlink" Target="https://www.academia.edu/70473981/American_Indian_Resistance_to_Settler_Colonialism_in_the_Western_Great_Lakes_and_Upper_Mississippi_Valley_1815_1832" TargetMode="External"/><Relationship Id="rId31" Type="http://schemas.openxmlformats.org/officeDocument/2006/relationships/hyperlink" Target="https://www.academia.edu/37675440/_The_Mixed_Race_M%C3%A9tis_of_the_Great_Lakes_Region_and_Early_Milwaukee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wisconsinhistory.org/the-misunderstood-mission-of-jean-nicolet-uncovering-the-story-of-the-1634-journey-3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academia.edu/43557085/_The_Path_to_Glory_is_Rough_The_Causes_and_Course_of_the_Black_Hawk_War_1804_1832" TargetMode="External"/><Relationship Id="rId27" Type="http://schemas.openxmlformats.org/officeDocument/2006/relationships/hyperlink" Target="https://www.academia.edu/37660440/_Lonely_Sentinel_A_Military_History_of_Fort_Madison_1808_1813_" TargetMode="External"/><Relationship Id="rId30" Type="http://schemas.openxmlformats.org/officeDocument/2006/relationships/hyperlink" Target="https://www.academia.edu/37662418/_Judge_James_Duane_Doty_and_Wisconsin_s_First_Court_The_Additional_Court_of_Michigan_Territory_1823_1836_" TargetMode="External"/><Relationship Id="rId35" Type="http://schemas.openxmlformats.org/officeDocument/2006/relationships/hyperlink" Target="https://www.academia.edu/64745260/A_Valuable_and_Dependable_Little_Navy_The_British_Upper_Great_Lakes_Fleet_during_the_American_Revolution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Patrick</dc:creator>
  <cp:keywords/>
  <dc:description/>
  <cp:lastModifiedBy>Jung, Patrick</cp:lastModifiedBy>
  <cp:revision>19</cp:revision>
  <dcterms:created xsi:type="dcterms:W3CDTF">2021-06-14T03:15:00Z</dcterms:created>
  <dcterms:modified xsi:type="dcterms:W3CDTF">2023-03-21T03:12:00Z</dcterms:modified>
</cp:coreProperties>
</file>