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990FD" w14:textId="13FCAB33" w:rsidR="00013824" w:rsidRDefault="00013824">
      <w:r>
        <w:rPr>
          <w:noProof/>
        </w:rPr>
        <w:drawing>
          <wp:anchor distT="0" distB="0" distL="114300" distR="114300" simplePos="0" relativeHeight="251661312" behindDoc="1" locked="0" layoutInCell="1" allowOverlap="1" wp14:anchorId="41DD3A88" wp14:editId="3801DC54">
            <wp:simplePos x="0" y="0"/>
            <wp:positionH relativeFrom="column">
              <wp:posOffset>19425</wp:posOffset>
            </wp:positionH>
            <wp:positionV relativeFrom="paragraph">
              <wp:posOffset>728374</wp:posOffset>
            </wp:positionV>
            <wp:extent cx="6828634" cy="2666071"/>
            <wp:effectExtent l="57150" t="0" r="48895" b="1155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alphaModFix/>
                      <a:extLst>
                        <a:ext uri="{28A0092B-C50C-407E-A947-70E740481C1C}">
                          <a14:useLocalDpi xmlns:a14="http://schemas.microsoft.com/office/drawing/2010/main" val="0"/>
                        </a:ext>
                      </a:extLst>
                    </a:blip>
                    <a:srcRect/>
                    <a:stretch>
                      <a:fillRect/>
                    </a:stretch>
                  </pic:blipFill>
                  <pic:spPr bwMode="auto">
                    <a:xfrm>
                      <a:off x="0" y="0"/>
                      <a:ext cx="6828634" cy="2666071"/>
                    </a:xfrm>
                    <a:prstGeom prst="rect">
                      <a:avLst/>
                    </a:prstGeom>
                    <a:noFill/>
                    <a:ln>
                      <a:noFill/>
                    </a:ln>
                    <a:effectLst>
                      <a:outerShdw blurRad="50800" dist="50800" dir="5400000" algn="ctr" rotWithShape="0">
                        <a:srgbClr val="000000">
                          <a:alpha val="23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59264" behindDoc="0" locked="0" layoutInCell="1" allowOverlap="1" wp14:anchorId="57A237E5" wp14:editId="063F14BE">
                <wp:simplePos x="0" y="0"/>
                <wp:positionH relativeFrom="column">
                  <wp:posOffset>8909</wp:posOffset>
                </wp:positionH>
                <wp:positionV relativeFrom="paragraph">
                  <wp:posOffset>348928</wp:posOffset>
                </wp:positionV>
                <wp:extent cx="6835775" cy="384175"/>
                <wp:effectExtent l="0" t="0" r="2222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775" cy="384175"/>
                        </a:xfrm>
                        <a:prstGeom prst="rect">
                          <a:avLst/>
                        </a:prstGeom>
                        <a:solidFill>
                          <a:schemeClr val="bg1">
                            <a:lumMod val="65000"/>
                          </a:schemeClr>
                        </a:solidFill>
                        <a:ln w="9525">
                          <a:solidFill>
                            <a:srgbClr val="000000"/>
                          </a:solidFill>
                          <a:miter lim="800000"/>
                          <a:headEnd/>
                          <a:tailEnd/>
                        </a:ln>
                      </wps:spPr>
                      <wps:txbx>
                        <w:txbxContent>
                          <w:p w14:paraId="1D8A2125" w14:textId="3BE2C56A" w:rsidR="00220667" w:rsidRPr="00013824" w:rsidRDefault="00220667" w:rsidP="00220667">
                            <w:pPr>
                              <w:jc w:val="center"/>
                              <w:rPr>
                                <w:rFonts w:ascii="Meiryo" w:eastAsia="Meiryo" w:hAnsi="Meiryo"/>
                                <w:b/>
                                <w:bCs/>
                                <w:color w:val="FFFFFF" w:themeColor="background1"/>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013824">
                              <w:rPr>
                                <w:rFonts w:ascii="Meiryo" w:eastAsia="Meiryo" w:hAnsi="Meiryo"/>
                                <w:b/>
                                <w:bCs/>
                                <w:color w:val="FFFFFF" w:themeColor="background1"/>
                              </w:rPr>
                              <w:t>Home      Vita        Publications     Public Talks      Consulting</w:t>
                            </w:r>
                            <w:r w:rsidR="0006616E">
                              <w:rPr>
                                <w:rFonts w:ascii="Meiryo" w:eastAsia="Meiryo" w:hAnsi="Meiryo"/>
                                <w:b/>
                                <w:bCs/>
                                <w:color w:val="FFFFFF" w:themeColor="background1"/>
                              </w:rPr>
                              <w:t xml:space="preserve"> &amp; Media</w:t>
                            </w:r>
                            <w:r w:rsidRPr="00013824">
                              <w:rPr>
                                <w:rFonts w:ascii="Meiryo" w:eastAsia="Meiryo" w:hAnsi="Meiryo"/>
                                <w:b/>
                                <w:bCs/>
                                <w:color w:val="FFFFFF" w:themeColor="background1"/>
                              </w:rPr>
                              <w:t xml:space="preserve">     Contact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A237E5" id="_x0000_t202" coordsize="21600,21600" o:spt="202" path="m,l,21600r21600,l21600,xe">
                <v:stroke joinstyle="miter"/>
                <v:path gradientshapeok="t" o:connecttype="rect"/>
              </v:shapetype>
              <v:shape id="Text Box 2" o:spid="_x0000_s1026" type="#_x0000_t202" style="position:absolute;margin-left:.7pt;margin-top:27.45pt;width:538.25pt;height:3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" fillcolor="#a5a5a5 [2092]">
                <v:textbox>
                  <w:txbxContent>
                    <w:p w14:paraId="1D8A2125" w14:textId="3BE2C56A" w:rsidR="00220667" w:rsidRPr="00013824" w:rsidRDefault="00220667" w:rsidP="00220667">
                      <w:pPr>
                        <w:jc w:val="center"/>
                        <w:rPr>
                          <w:rFonts w:ascii="Meiryo" w:eastAsia="Meiryo" w:hAnsi="Meiryo"/>
                          <w:b/>
                          <w:bCs/>
                          <w:color w:val="FFFFFF" w:themeColor="background1"/>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013824">
                        <w:rPr>
                          <w:rFonts w:ascii="Meiryo" w:eastAsia="Meiryo" w:hAnsi="Meiryo"/>
                          <w:b/>
                          <w:bCs/>
                          <w:color w:val="FFFFFF" w:themeColor="background1"/>
                        </w:rPr>
                        <w:t>Home      Vita        Publications     Public Talks      Consulting</w:t>
                      </w:r>
                      <w:r w:rsidR="0006616E">
                        <w:rPr>
                          <w:rFonts w:ascii="Meiryo" w:eastAsia="Meiryo" w:hAnsi="Meiryo"/>
                          <w:b/>
                          <w:bCs/>
                          <w:color w:val="FFFFFF" w:themeColor="background1"/>
                        </w:rPr>
                        <w:t xml:space="preserve"> &amp; Media</w:t>
                      </w:r>
                      <w:r w:rsidRPr="00013824">
                        <w:rPr>
                          <w:rFonts w:ascii="Meiryo" w:eastAsia="Meiryo" w:hAnsi="Meiryo"/>
                          <w:b/>
                          <w:bCs/>
                          <w:color w:val="FFFFFF" w:themeColor="background1"/>
                        </w:rPr>
                        <w:t xml:space="preserve">     Contact</w:t>
                      </w:r>
                    </w:p>
                  </w:txbxContent>
                </v:textbox>
                <w10:wrap type="square"/>
              </v:shape>
            </w:pict>
          </mc:Fallback>
        </mc:AlternateContent>
      </w:r>
    </w:p>
    <w:p w14:paraId="69743E29" w14:textId="1F458254" w:rsidR="00013824" w:rsidRDefault="00013824"/>
    <w:p w14:paraId="27403EC2" w14:textId="391A92B8" w:rsidR="00013824" w:rsidRDefault="00013824"/>
    <w:p w14:paraId="3067C392" w14:textId="41A1D618" w:rsidR="00013824" w:rsidRDefault="00013824"/>
    <w:p w14:paraId="33B56601" w14:textId="62BA4D84" w:rsidR="00013824" w:rsidRDefault="00013824"/>
    <w:p w14:paraId="79C59260" w14:textId="46666D4F" w:rsidR="00013824" w:rsidRDefault="00013824"/>
    <w:p w14:paraId="684010CF" w14:textId="5EF1A8A3" w:rsidR="00013824" w:rsidRDefault="00013824"/>
    <w:p w14:paraId="157C6A0E" w14:textId="6FA69BA7" w:rsidR="00013824" w:rsidRDefault="00013824"/>
    <w:p w14:paraId="71C9EFD3" w14:textId="2E2AC6E3" w:rsidR="00013824" w:rsidRDefault="00013824"/>
    <w:p w14:paraId="5735B78C" w14:textId="54400295" w:rsidR="00013824" w:rsidRDefault="00013824"/>
    <w:p w14:paraId="27454B49" w14:textId="3E7AB6DF" w:rsidR="00013824" w:rsidRDefault="00013824"/>
    <w:p w14:paraId="6BA4B58F" w14:textId="392158D7" w:rsidR="00013824" w:rsidRDefault="00013824"/>
    <w:p w14:paraId="5891FDB1" w14:textId="5F6A54FE" w:rsidR="0063244F" w:rsidRDefault="0063244F"/>
    <w:p w14:paraId="548AE9D6" w14:textId="56D91B1B" w:rsidR="00013824" w:rsidRDefault="00013824"/>
    <w:p w14:paraId="7B25D725" w14:textId="7B4CA189" w:rsidR="00013824" w:rsidRDefault="00013824"/>
    <w:p w14:paraId="3C92C711" w14:textId="307563AE" w:rsidR="00013824" w:rsidRDefault="00F221FF" w:rsidP="00F221FF">
      <w:pPr>
        <w:tabs>
          <w:tab w:val="left" w:pos="9543"/>
        </w:tabs>
      </w:pPr>
      <w:r>
        <w:tab/>
      </w:r>
    </w:p>
    <w:p w14:paraId="170F31DC" w14:textId="246456BD" w:rsidR="00013824" w:rsidRDefault="005759B2">
      <w:r>
        <w:rPr>
          <w:noProof/>
        </w:rPr>
        <w:drawing>
          <wp:inline distT="0" distB="0" distL="0" distR="0" wp14:anchorId="38604BB4" wp14:editId="5DAAFC8A">
            <wp:extent cx="6858000" cy="111379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1113790"/>
                    </a:xfrm>
                    <a:prstGeom prst="rect">
                      <a:avLst/>
                    </a:prstGeom>
                    <a:noFill/>
                    <a:ln>
                      <a:noFill/>
                    </a:ln>
                  </pic:spPr>
                </pic:pic>
              </a:graphicData>
            </a:graphic>
          </wp:inline>
        </w:drawing>
      </w:r>
    </w:p>
    <w:p w14:paraId="431D319F" w14:textId="6BF45B35" w:rsidR="00F221FF" w:rsidRDefault="00F221FF"/>
    <w:p w14:paraId="268E0BEE" w14:textId="2E845419" w:rsidR="00013824" w:rsidRPr="00BF71FF" w:rsidRDefault="00F2195D" w:rsidP="00F221FF">
      <w:pPr>
        <w:rPr>
          <w:rFonts w:ascii="Source Sans Pro" w:hAnsi="Source Sans Pro"/>
          <w:b/>
          <w:bCs/>
          <w:sz w:val="48"/>
          <w:szCs w:val="48"/>
        </w:rPr>
      </w:pPr>
      <w:r w:rsidRPr="00BF71FF">
        <w:rPr>
          <w:rFonts w:ascii="Source Sans Pro" w:hAnsi="Source Sans Pro"/>
          <w:b/>
          <w:bCs/>
          <w:sz w:val="48"/>
          <w:szCs w:val="48"/>
        </w:rPr>
        <w:t>Public</w:t>
      </w:r>
      <w:r w:rsidR="0056703E" w:rsidRPr="00BF71FF">
        <w:rPr>
          <w:rFonts w:ascii="Source Sans Pro" w:hAnsi="Source Sans Pro"/>
          <w:b/>
          <w:bCs/>
          <w:sz w:val="48"/>
          <w:szCs w:val="48"/>
        </w:rPr>
        <w:t xml:space="preserve"> Talks</w:t>
      </w:r>
    </w:p>
    <w:p w14:paraId="7D617ECD" w14:textId="49FF236D" w:rsidR="00013824" w:rsidRPr="006D539F" w:rsidRDefault="00013824" w:rsidP="0056703E">
      <w:pPr>
        <w:rPr>
          <w:rFonts w:ascii="Source Sans Pro" w:hAnsi="Source Sans Pro"/>
          <w:sz w:val="28"/>
          <w:szCs w:val="28"/>
        </w:rPr>
      </w:pPr>
    </w:p>
    <w:p w14:paraId="4C20FE61" w14:textId="2D18FC2F" w:rsidR="00CE5FF6" w:rsidRPr="006D539F" w:rsidRDefault="005A1F53" w:rsidP="0056703E">
      <w:pPr>
        <w:rPr>
          <w:rFonts w:ascii="Source Sans Pro" w:hAnsi="Source Sans Pro"/>
          <w:sz w:val="28"/>
          <w:szCs w:val="28"/>
        </w:rPr>
      </w:pPr>
      <w:r>
        <w:rPr>
          <w:rFonts w:ascii="Source Sans Pro" w:hAnsi="Source Sans Pro"/>
          <w:sz w:val="28"/>
          <w:szCs w:val="28"/>
        </w:rPr>
        <w:t>P</w:t>
      </w:r>
      <w:r w:rsidR="005C659D">
        <w:rPr>
          <w:rFonts w:ascii="Source Sans Pro" w:hAnsi="Source Sans Pro"/>
          <w:sz w:val="28"/>
          <w:szCs w:val="28"/>
        </w:rPr>
        <w:t>r</w:t>
      </w:r>
      <w:r w:rsidR="00557069">
        <w:rPr>
          <w:rFonts w:ascii="Source Sans Pro" w:hAnsi="Source Sans Pro"/>
          <w:sz w:val="28"/>
          <w:szCs w:val="28"/>
        </w:rPr>
        <w:t>ofessional</w:t>
      </w:r>
      <w:r w:rsidR="0056703E" w:rsidRPr="006D539F">
        <w:rPr>
          <w:rFonts w:ascii="Source Sans Pro" w:hAnsi="Source Sans Pro"/>
          <w:sz w:val="28"/>
          <w:szCs w:val="28"/>
        </w:rPr>
        <w:t xml:space="preserve"> historian</w:t>
      </w:r>
      <w:r w:rsidR="005C659D">
        <w:rPr>
          <w:rFonts w:ascii="Source Sans Pro" w:hAnsi="Source Sans Pro"/>
          <w:sz w:val="28"/>
          <w:szCs w:val="28"/>
        </w:rPr>
        <w:t xml:space="preserve">s </w:t>
      </w:r>
      <w:r w:rsidR="0056703E" w:rsidRPr="006D539F">
        <w:rPr>
          <w:rFonts w:ascii="Source Sans Pro" w:hAnsi="Source Sans Pro"/>
          <w:sz w:val="28"/>
          <w:szCs w:val="28"/>
        </w:rPr>
        <w:t xml:space="preserve">must engage with </w:t>
      </w:r>
      <w:r w:rsidR="00BB1807">
        <w:rPr>
          <w:rFonts w:ascii="Source Sans Pro" w:hAnsi="Source Sans Pro"/>
          <w:sz w:val="28"/>
          <w:szCs w:val="28"/>
        </w:rPr>
        <w:t xml:space="preserve">the </w:t>
      </w:r>
      <w:r w:rsidR="0056703E" w:rsidRPr="006D539F">
        <w:rPr>
          <w:rFonts w:ascii="Source Sans Pro" w:hAnsi="Source Sans Pro"/>
          <w:sz w:val="28"/>
          <w:szCs w:val="28"/>
        </w:rPr>
        <w:t xml:space="preserve">broader society and share </w:t>
      </w:r>
      <w:r w:rsidR="005C659D">
        <w:rPr>
          <w:rFonts w:ascii="Source Sans Pro" w:hAnsi="Source Sans Pro"/>
          <w:sz w:val="28"/>
          <w:szCs w:val="28"/>
        </w:rPr>
        <w:t>their</w:t>
      </w:r>
      <w:r w:rsidR="0056703E" w:rsidRPr="006D539F">
        <w:rPr>
          <w:rFonts w:ascii="Source Sans Pro" w:hAnsi="Source Sans Pro"/>
          <w:sz w:val="28"/>
          <w:szCs w:val="28"/>
        </w:rPr>
        <w:t xml:space="preserve"> research and insights.</w:t>
      </w:r>
      <w:r w:rsidR="005C659D">
        <w:rPr>
          <w:rFonts w:ascii="Source Sans Pro" w:hAnsi="Source Sans Pro"/>
          <w:sz w:val="28"/>
          <w:szCs w:val="28"/>
        </w:rPr>
        <w:t xml:space="preserve"> For this reason, </w:t>
      </w:r>
      <w:r w:rsidR="0056703E" w:rsidRPr="006D539F">
        <w:rPr>
          <w:rFonts w:ascii="Source Sans Pro" w:hAnsi="Source Sans Pro"/>
          <w:sz w:val="28"/>
          <w:szCs w:val="28"/>
        </w:rPr>
        <w:t xml:space="preserve">I have put together a series of public talks that </w:t>
      </w:r>
      <w:r w:rsidR="00557069">
        <w:rPr>
          <w:rFonts w:ascii="Source Sans Pro" w:hAnsi="Source Sans Pro"/>
          <w:sz w:val="28"/>
          <w:szCs w:val="28"/>
        </w:rPr>
        <w:t>examine</w:t>
      </w:r>
      <w:r w:rsidR="0056703E" w:rsidRPr="006D539F">
        <w:rPr>
          <w:rFonts w:ascii="Source Sans Pro" w:hAnsi="Source Sans Pro"/>
          <w:sz w:val="28"/>
          <w:szCs w:val="28"/>
        </w:rPr>
        <w:t xml:space="preserve"> a variety of topics. They are designed to make people stop, think, and consider the broader implications of the human past.</w:t>
      </w:r>
    </w:p>
    <w:p w14:paraId="5FC9DEC5" w14:textId="5E742194" w:rsidR="0056703E" w:rsidRPr="006D539F" w:rsidRDefault="0056703E" w:rsidP="0056703E">
      <w:pPr>
        <w:rPr>
          <w:rFonts w:ascii="Source Sans Pro" w:hAnsi="Source Sans Pro"/>
          <w:sz w:val="28"/>
          <w:szCs w:val="28"/>
        </w:rPr>
      </w:pPr>
    </w:p>
    <w:p w14:paraId="283907D4" w14:textId="32B9BDBD" w:rsidR="0056703E" w:rsidRPr="006D539F" w:rsidRDefault="0056703E" w:rsidP="0056703E">
      <w:pPr>
        <w:rPr>
          <w:rFonts w:ascii="Source Sans Pro" w:hAnsi="Source Sans Pro"/>
          <w:sz w:val="28"/>
          <w:szCs w:val="28"/>
        </w:rPr>
      </w:pPr>
      <w:r w:rsidRPr="006D539F">
        <w:rPr>
          <w:rFonts w:ascii="Source Sans Pro" w:hAnsi="Source Sans Pro"/>
          <w:sz w:val="28"/>
          <w:szCs w:val="28"/>
        </w:rPr>
        <w:t>Interest</w:t>
      </w:r>
      <w:r w:rsidR="00F60958">
        <w:rPr>
          <w:rFonts w:ascii="Source Sans Pro" w:hAnsi="Source Sans Pro"/>
          <w:sz w:val="28"/>
          <w:szCs w:val="28"/>
        </w:rPr>
        <w:t>ed</w:t>
      </w:r>
      <w:r w:rsidRPr="006D539F">
        <w:rPr>
          <w:rFonts w:ascii="Source Sans Pro" w:hAnsi="Source Sans Pro"/>
          <w:sz w:val="28"/>
          <w:szCs w:val="28"/>
        </w:rPr>
        <w:t xml:space="preserve"> in booking a talk? Click </w:t>
      </w:r>
      <w:r w:rsidRPr="006D539F">
        <w:rPr>
          <w:rFonts w:ascii="Source Sans Pro" w:hAnsi="Source Sans Pro"/>
          <w:color w:val="FF0000"/>
          <w:sz w:val="28"/>
          <w:szCs w:val="28"/>
        </w:rPr>
        <w:t>here</w:t>
      </w:r>
      <w:r w:rsidRPr="006D539F">
        <w:rPr>
          <w:rFonts w:ascii="Source Sans Pro" w:hAnsi="Source Sans Pro"/>
          <w:sz w:val="28"/>
          <w:szCs w:val="28"/>
        </w:rPr>
        <w:t xml:space="preserve"> and contact me. I am always interested in hearing from you!</w:t>
      </w:r>
    </w:p>
    <w:p w14:paraId="2FA9B10F" w14:textId="3A959DC0" w:rsidR="0056703E" w:rsidRDefault="0056703E" w:rsidP="0056703E">
      <w:pPr>
        <w:rPr>
          <w:rFonts w:ascii="Source Sans Pro" w:hAnsi="Source Sans Pro"/>
          <w:szCs w:val="24"/>
        </w:rPr>
      </w:pPr>
    </w:p>
    <w:p w14:paraId="18D18F91" w14:textId="5EB4092D" w:rsidR="00BF71FF" w:rsidRDefault="00BF71FF" w:rsidP="0056703E">
      <w:pPr>
        <w:rPr>
          <w:rFonts w:ascii="Source Sans Pro" w:hAnsi="Source Sans Pro"/>
          <w:szCs w:val="24"/>
        </w:rPr>
      </w:pPr>
    </w:p>
    <w:p w14:paraId="5B6E164F" w14:textId="77777777" w:rsidR="005E7321" w:rsidRPr="006D539F" w:rsidRDefault="005E7321" w:rsidP="005E7321">
      <w:pPr>
        <w:ind w:firstLine="720"/>
        <w:rPr>
          <w:rFonts w:ascii="Source Sans Pro" w:hAnsi="Source Sans Pro"/>
          <w:b/>
          <w:bCs/>
          <w:sz w:val="36"/>
          <w:szCs w:val="36"/>
        </w:rPr>
      </w:pPr>
      <w:r w:rsidRPr="006D539F">
        <w:rPr>
          <w:rFonts w:ascii="Source Sans Pro" w:hAnsi="Source Sans Pro"/>
          <w:b/>
          <w:bCs/>
          <w:sz w:val="36"/>
          <w:szCs w:val="36"/>
        </w:rPr>
        <w:t>General History</w:t>
      </w:r>
    </w:p>
    <w:p w14:paraId="295ABA14" w14:textId="77777777" w:rsidR="005E7321" w:rsidRPr="00BF71FF" w:rsidRDefault="005E7321" w:rsidP="005E7321">
      <w:pPr>
        <w:rPr>
          <w:rFonts w:ascii="Source Sans Pro" w:hAnsi="Source Sans Pro"/>
          <w:szCs w:val="24"/>
        </w:rPr>
      </w:pPr>
    </w:p>
    <w:p w14:paraId="18A161E4" w14:textId="77777777" w:rsidR="005E7321" w:rsidRPr="006D539F" w:rsidRDefault="005E7321" w:rsidP="005E7321">
      <w:pPr>
        <w:rPr>
          <w:rFonts w:ascii="Source Sans Pro" w:hAnsi="Source Sans Pro"/>
          <w:b/>
          <w:bCs/>
          <w:i/>
          <w:iCs/>
          <w:sz w:val="32"/>
          <w:szCs w:val="32"/>
        </w:rPr>
      </w:pPr>
      <w:r w:rsidRPr="006D539F">
        <w:rPr>
          <w:rFonts w:ascii="Source Sans Pro" w:hAnsi="Source Sans Pro"/>
          <w:b/>
          <w:bCs/>
          <w:i/>
          <w:iCs/>
          <w:sz w:val="32"/>
          <w:szCs w:val="32"/>
        </w:rPr>
        <w:t>Debunking Conspiracy Theories</w:t>
      </w:r>
    </w:p>
    <w:p w14:paraId="02352C64" w14:textId="77777777" w:rsidR="005E7321" w:rsidRPr="00BF71FF" w:rsidRDefault="005E7321" w:rsidP="005E7321">
      <w:pPr>
        <w:rPr>
          <w:rFonts w:ascii="Source Sans Pro" w:hAnsi="Source Sans Pro"/>
          <w:sz w:val="22"/>
        </w:rPr>
      </w:pPr>
    </w:p>
    <w:p w14:paraId="4CF4B385" w14:textId="1F6C949E" w:rsidR="005E7321" w:rsidRPr="006D539F" w:rsidRDefault="005E7321" w:rsidP="005E7321">
      <w:pPr>
        <w:rPr>
          <w:rFonts w:ascii="Source Sans Pro" w:hAnsi="Source Sans Pro"/>
          <w:sz w:val="28"/>
          <w:szCs w:val="28"/>
        </w:rPr>
      </w:pPr>
      <w:r w:rsidRPr="006D539F">
        <w:rPr>
          <w:rFonts w:ascii="Source Sans Pro" w:hAnsi="Source Sans Pro"/>
          <w:sz w:val="28"/>
          <w:szCs w:val="28"/>
        </w:rPr>
        <w:t xml:space="preserve">Conspiracy theories are a form of misinformation </w:t>
      </w:r>
      <w:r>
        <w:rPr>
          <w:rFonts w:ascii="Source Sans Pro" w:hAnsi="Source Sans Pro"/>
          <w:sz w:val="28"/>
          <w:szCs w:val="28"/>
        </w:rPr>
        <w:t>that</w:t>
      </w:r>
      <w:r w:rsidRPr="006D539F">
        <w:rPr>
          <w:rFonts w:ascii="Source Sans Pro" w:hAnsi="Source Sans Pro"/>
          <w:sz w:val="28"/>
          <w:szCs w:val="28"/>
        </w:rPr>
        <w:t xml:space="preserve"> have plagued human societies since the beginning of time. They have</w:t>
      </w:r>
      <w:r w:rsidR="005A1F53">
        <w:rPr>
          <w:rFonts w:ascii="Source Sans Pro" w:hAnsi="Source Sans Pro"/>
          <w:sz w:val="28"/>
          <w:szCs w:val="28"/>
        </w:rPr>
        <w:t xml:space="preserve"> the</w:t>
      </w:r>
      <w:r w:rsidRPr="006D539F">
        <w:rPr>
          <w:rFonts w:ascii="Source Sans Pro" w:hAnsi="Source Sans Pro"/>
          <w:sz w:val="28"/>
          <w:szCs w:val="28"/>
        </w:rPr>
        <w:t xml:space="preserve"> potential to do great harm and often lead to violence. Why do they exist? What have been some of the major conspiracy theories of our age? This </w:t>
      </w:r>
      <w:r w:rsidR="008F12F5">
        <w:rPr>
          <w:rFonts w:ascii="Source Sans Pro" w:hAnsi="Source Sans Pro"/>
          <w:sz w:val="28"/>
          <w:szCs w:val="28"/>
        </w:rPr>
        <w:t>presentation</w:t>
      </w:r>
      <w:r w:rsidRPr="006D539F">
        <w:rPr>
          <w:rFonts w:ascii="Source Sans Pro" w:hAnsi="Source Sans Pro"/>
          <w:sz w:val="28"/>
          <w:szCs w:val="28"/>
        </w:rPr>
        <w:t xml:space="preserve"> answers those questions.</w:t>
      </w:r>
    </w:p>
    <w:p w14:paraId="6297E230" w14:textId="77777777" w:rsidR="005E7321" w:rsidRPr="00BF71FF" w:rsidRDefault="005E7321" w:rsidP="005E7321">
      <w:pPr>
        <w:rPr>
          <w:rFonts w:ascii="Source Sans Pro" w:hAnsi="Source Sans Pro"/>
          <w:szCs w:val="24"/>
        </w:rPr>
      </w:pPr>
    </w:p>
    <w:p w14:paraId="77CD395B" w14:textId="77777777" w:rsidR="005E7321" w:rsidRPr="00BF71FF" w:rsidRDefault="005E7321" w:rsidP="005E7321">
      <w:pPr>
        <w:rPr>
          <w:rFonts w:ascii="Source Sans Pro" w:hAnsi="Source Sans Pro"/>
          <w:szCs w:val="24"/>
        </w:rPr>
      </w:pPr>
    </w:p>
    <w:p w14:paraId="171E43CF" w14:textId="77777777" w:rsidR="005E7321" w:rsidRPr="006D539F" w:rsidRDefault="005E7321" w:rsidP="005E7321">
      <w:pPr>
        <w:rPr>
          <w:rFonts w:ascii="Source Sans Pro" w:hAnsi="Source Sans Pro"/>
          <w:b/>
          <w:bCs/>
          <w:i/>
          <w:iCs/>
          <w:sz w:val="32"/>
          <w:szCs w:val="32"/>
        </w:rPr>
      </w:pPr>
      <w:r w:rsidRPr="006D539F">
        <w:rPr>
          <w:rFonts w:ascii="Source Sans Pro" w:hAnsi="Source Sans Pro"/>
          <w:b/>
          <w:bCs/>
          <w:i/>
          <w:iCs/>
          <w:sz w:val="32"/>
          <w:szCs w:val="32"/>
        </w:rPr>
        <w:t>Hitler’s Forgotten Holocaust: The Soviet Union during World War II</w:t>
      </w:r>
    </w:p>
    <w:p w14:paraId="7F1C1777" w14:textId="77777777" w:rsidR="005E7321" w:rsidRPr="00BF71FF" w:rsidRDefault="005E7321" w:rsidP="005E7321">
      <w:pPr>
        <w:rPr>
          <w:rFonts w:ascii="Source Sans Pro" w:hAnsi="Source Sans Pro"/>
          <w:sz w:val="22"/>
        </w:rPr>
      </w:pPr>
    </w:p>
    <w:p w14:paraId="73BD2411" w14:textId="40EA1CBF" w:rsidR="005E7321" w:rsidRPr="006D539F" w:rsidRDefault="005E7321" w:rsidP="005E7321">
      <w:pPr>
        <w:rPr>
          <w:rFonts w:ascii="Source Sans Pro" w:hAnsi="Source Sans Pro"/>
          <w:sz w:val="28"/>
          <w:szCs w:val="28"/>
        </w:rPr>
      </w:pPr>
      <w:r w:rsidRPr="006D539F">
        <w:rPr>
          <w:rFonts w:ascii="Source Sans Pro" w:hAnsi="Source Sans Pro"/>
          <w:sz w:val="28"/>
          <w:szCs w:val="28"/>
        </w:rPr>
        <w:t xml:space="preserve">Everyone is familiar with the fact Adolf Hitler ordered the annihilation of 6 million Jews during World War II. They </w:t>
      </w:r>
      <w:r w:rsidR="00F74E2F">
        <w:rPr>
          <w:rFonts w:ascii="Source Sans Pro" w:hAnsi="Source Sans Pro"/>
          <w:sz w:val="28"/>
          <w:szCs w:val="28"/>
        </w:rPr>
        <w:t xml:space="preserve">are </w:t>
      </w:r>
      <w:r w:rsidRPr="006D539F">
        <w:rPr>
          <w:rFonts w:ascii="Source Sans Pro" w:hAnsi="Source Sans Pro"/>
          <w:sz w:val="28"/>
          <w:szCs w:val="28"/>
        </w:rPr>
        <w:t xml:space="preserve">often surprised and shocked to learn that 25 million Soviet citizens died during this conflict. This topic explores a facet of the Second World War that is unknown to most Americans. The German army killed millions of Soviet citizens, both military and non-military, as it blazed a path of destruction across East Europe. This talk looks at the causes of </w:t>
      </w:r>
      <w:r w:rsidR="00F74E2F">
        <w:rPr>
          <w:rFonts w:ascii="Source Sans Pro" w:hAnsi="Source Sans Pro"/>
          <w:sz w:val="28"/>
          <w:szCs w:val="28"/>
        </w:rPr>
        <w:t xml:space="preserve">this </w:t>
      </w:r>
      <w:r w:rsidRPr="006D539F">
        <w:rPr>
          <w:rFonts w:ascii="Source Sans Pro" w:hAnsi="Source Sans Pro"/>
          <w:sz w:val="28"/>
          <w:szCs w:val="28"/>
        </w:rPr>
        <w:t>violent and bloody aspect of the war.</w:t>
      </w:r>
    </w:p>
    <w:p w14:paraId="3A1D997C" w14:textId="77777777" w:rsidR="005E7321" w:rsidRPr="00BF71FF" w:rsidRDefault="005E7321" w:rsidP="005E7321">
      <w:pPr>
        <w:rPr>
          <w:rFonts w:ascii="Source Sans Pro" w:hAnsi="Source Sans Pro"/>
          <w:szCs w:val="24"/>
        </w:rPr>
      </w:pPr>
    </w:p>
    <w:p w14:paraId="1C9606E3" w14:textId="77777777" w:rsidR="005E7321" w:rsidRPr="00BF71FF" w:rsidRDefault="005E7321" w:rsidP="005E7321">
      <w:pPr>
        <w:rPr>
          <w:rFonts w:ascii="Source Sans Pro" w:hAnsi="Source Sans Pro"/>
          <w:szCs w:val="24"/>
        </w:rPr>
      </w:pPr>
    </w:p>
    <w:p w14:paraId="4292E7F7" w14:textId="77777777" w:rsidR="005E7321" w:rsidRPr="006D539F" w:rsidRDefault="005E7321" w:rsidP="005E7321">
      <w:pPr>
        <w:rPr>
          <w:rFonts w:ascii="Source Sans Pro" w:hAnsi="Source Sans Pro"/>
          <w:b/>
          <w:bCs/>
          <w:i/>
          <w:iCs/>
          <w:sz w:val="32"/>
          <w:szCs w:val="32"/>
        </w:rPr>
      </w:pPr>
      <w:r w:rsidRPr="006D539F">
        <w:rPr>
          <w:rFonts w:ascii="Source Sans Pro" w:hAnsi="Source Sans Pro"/>
          <w:b/>
          <w:bCs/>
          <w:i/>
          <w:iCs/>
          <w:sz w:val="32"/>
          <w:szCs w:val="32"/>
        </w:rPr>
        <w:t>Public Torture and Execution: Europe and Native North America Compared</w:t>
      </w:r>
    </w:p>
    <w:p w14:paraId="18D9BCBC" w14:textId="77777777" w:rsidR="005E7321" w:rsidRPr="00BF71FF" w:rsidRDefault="005E7321" w:rsidP="005E7321">
      <w:pPr>
        <w:rPr>
          <w:rFonts w:ascii="Source Sans Pro" w:hAnsi="Source Sans Pro"/>
          <w:sz w:val="22"/>
        </w:rPr>
      </w:pPr>
    </w:p>
    <w:p w14:paraId="742A2F24" w14:textId="2EC32D1C" w:rsidR="005E7321" w:rsidRPr="006D539F" w:rsidRDefault="005E7321" w:rsidP="005E7321">
      <w:pPr>
        <w:rPr>
          <w:rFonts w:ascii="Source Sans Pro" w:eastAsia="Times New Roman" w:hAnsi="Source Sans Pro"/>
          <w:bCs/>
          <w:sz w:val="28"/>
          <w:szCs w:val="28"/>
        </w:rPr>
      </w:pPr>
      <w:r w:rsidRPr="006D539F">
        <w:rPr>
          <w:rFonts w:ascii="Source Sans Pro" w:hAnsi="Source Sans Pro"/>
          <w:sz w:val="28"/>
          <w:szCs w:val="28"/>
        </w:rPr>
        <w:t>Four centuries ago, both American Indians and early modern Europeans practiced forms of public torture and execution. These customs seem barbaric to us, but they had a logic and purpose</w:t>
      </w:r>
      <w:r w:rsidR="00F60958">
        <w:rPr>
          <w:rFonts w:ascii="Source Sans Pro" w:hAnsi="Source Sans Pro"/>
          <w:sz w:val="28"/>
          <w:szCs w:val="28"/>
        </w:rPr>
        <w:t>,</w:t>
      </w:r>
      <w:r w:rsidRPr="006D539F">
        <w:rPr>
          <w:rFonts w:ascii="Source Sans Pro" w:hAnsi="Source Sans Pro"/>
          <w:sz w:val="28"/>
          <w:szCs w:val="28"/>
        </w:rPr>
        <w:t xml:space="preserve"> or, more accurately, they </w:t>
      </w:r>
      <w:r w:rsidR="00F74E2F">
        <w:rPr>
          <w:rFonts w:ascii="Source Sans Pro" w:hAnsi="Source Sans Pro"/>
          <w:sz w:val="28"/>
          <w:szCs w:val="28"/>
        </w:rPr>
        <w:t xml:space="preserve">had </w:t>
      </w:r>
      <w:r w:rsidRPr="006D539F">
        <w:rPr>
          <w:rFonts w:ascii="Source Sans Pro" w:hAnsi="Source Sans Pro"/>
          <w:sz w:val="28"/>
          <w:szCs w:val="28"/>
        </w:rPr>
        <w:t xml:space="preserve">logics and purposes. While public torture and execution by both societies </w:t>
      </w:r>
      <w:r w:rsidR="00F60958">
        <w:rPr>
          <w:rFonts w:ascii="Source Sans Pro" w:hAnsi="Source Sans Pro"/>
          <w:sz w:val="28"/>
          <w:szCs w:val="28"/>
        </w:rPr>
        <w:t>appeared</w:t>
      </w:r>
      <w:r w:rsidRPr="006D539F">
        <w:rPr>
          <w:rFonts w:ascii="Source Sans Pro" w:hAnsi="Source Sans Pro"/>
          <w:sz w:val="28"/>
          <w:szCs w:val="28"/>
        </w:rPr>
        <w:t xml:space="preserve"> similar, to Europeans and American Indians they had radically different meanings that </w:t>
      </w:r>
      <w:r w:rsidR="00F74E2F">
        <w:rPr>
          <w:rFonts w:ascii="Source Sans Pro" w:hAnsi="Source Sans Pro"/>
          <w:sz w:val="28"/>
          <w:szCs w:val="28"/>
        </w:rPr>
        <w:t xml:space="preserve">are </w:t>
      </w:r>
      <w:r w:rsidRPr="006D539F">
        <w:rPr>
          <w:rFonts w:ascii="Source Sans Pro" w:hAnsi="Source Sans Pro"/>
          <w:sz w:val="28"/>
          <w:szCs w:val="28"/>
        </w:rPr>
        <w:t>examined in this talk.</w:t>
      </w:r>
    </w:p>
    <w:p w14:paraId="3BD0FC5C" w14:textId="1DE8B9DD" w:rsidR="005E7321" w:rsidRDefault="005E7321" w:rsidP="0056703E">
      <w:pPr>
        <w:rPr>
          <w:rFonts w:ascii="Source Sans Pro" w:hAnsi="Source Sans Pro"/>
          <w:szCs w:val="24"/>
        </w:rPr>
      </w:pPr>
    </w:p>
    <w:p w14:paraId="042F1B12" w14:textId="77777777" w:rsidR="00FE766B" w:rsidRDefault="00FE766B" w:rsidP="0056703E">
      <w:pPr>
        <w:rPr>
          <w:rFonts w:ascii="Source Sans Pro" w:hAnsi="Source Sans Pro"/>
          <w:szCs w:val="24"/>
        </w:rPr>
      </w:pPr>
    </w:p>
    <w:p w14:paraId="0D7299F3" w14:textId="0E07E091" w:rsidR="00FE766B" w:rsidRPr="00FE766B" w:rsidRDefault="00FE766B" w:rsidP="00FE766B">
      <w:pPr>
        <w:rPr>
          <w:rFonts w:ascii="Source Sans Pro" w:hAnsi="Source Sans Pro"/>
          <w:b/>
          <w:bCs/>
          <w:i/>
          <w:iCs/>
          <w:sz w:val="32"/>
          <w:szCs w:val="32"/>
        </w:rPr>
      </w:pPr>
      <w:r w:rsidRPr="00FE766B">
        <w:rPr>
          <w:rFonts w:ascii="Source Sans Pro" w:hAnsi="Source Sans Pro"/>
          <w:b/>
          <w:bCs/>
          <w:i/>
          <w:iCs/>
          <w:sz w:val="32"/>
          <w:szCs w:val="32"/>
        </w:rPr>
        <w:t>Witches and Witchcraft</w:t>
      </w:r>
      <w:r>
        <w:rPr>
          <w:rFonts w:ascii="Source Sans Pro" w:hAnsi="Source Sans Pro"/>
          <w:b/>
          <w:bCs/>
          <w:i/>
          <w:iCs/>
          <w:sz w:val="32"/>
          <w:szCs w:val="32"/>
        </w:rPr>
        <w:t xml:space="preserve"> in History</w:t>
      </w:r>
    </w:p>
    <w:p w14:paraId="6DC5EB59" w14:textId="77777777" w:rsidR="00FE766B" w:rsidRPr="00FE766B" w:rsidRDefault="00FE766B" w:rsidP="00FE766B">
      <w:pPr>
        <w:rPr>
          <w:rFonts w:ascii="Source Sans Pro" w:hAnsi="Source Sans Pro"/>
          <w:sz w:val="22"/>
        </w:rPr>
      </w:pPr>
    </w:p>
    <w:p w14:paraId="165CB67E" w14:textId="1F58F5EF" w:rsidR="005E7321" w:rsidRDefault="00FE766B" w:rsidP="00FE766B">
      <w:pPr>
        <w:rPr>
          <w:rFonts w:ascii="Source Sans Pro" w:hAnsi="Source Sans Pro"/>
          <w:sz w:val="28"/>
          <w:szCs w:val="28"/>
        </w:rPr>
      </w:pPr>
      <w:r w:rsidRPr="00FE766B">
        <w:rPr>
          <w:rFonts w:ascii="Source Sans Pro" w:hAnsi="Source Sans Pro"/>
          <w:sz w:val="28"/>
          <w:szCs w:val="28"/>
        </w:rPr>
        <w:t xml:space="preserve">Popular images of witches in movies such as </w:t>
      </w:r>
      <w:r w:rsidRPr="00FE766B">
        <w:rPr>
          <w:rFonts w:ascii="Source Sans Pro" w:hAnsi="Source Sans Pro"/>
          <w:i/>
          <w:iCs/>
          <w:sz w:val="28"/>
          <w:szCs w:val="28"/>
        </w:rPr>
        <w:t>The Wizard of Oz</w:t>
      </w:r>
      <w:r w:rsidRPr="00FE766B">
        <w:rPr>
          <w:rFonts w:ascii="Source Sans Pro" w:hAnsi="Source Sans Pro"/>
          <w:sz w:val="28"/>
          <w:szCs w:val="28"/>
        </w:rPr>
        <w:t xml:space="preserve"> and shows such as </w:t>
      </w:r>
      <w:r w:rsidRPr="00FE766B">
        <w:rPr>
          <w:rFonts w:ascii="Source Sans Pro" w:hAnsi="Source Sans Pro"/>
          <w:i/>
          <w:iCs/>
          <w:sz w:val="28"/>
          <w:szCs w:val="28"/>
        </w:rPr>
        <w:t>Sabrina the Teenage Witch</w:t>
      </w:r>
      <w:r w:rsidRPr="00FE766B">
        <w:rPr>
          <w:rFonts w:ascii="Source Sans Pro" w:hAnsi="Source Sans Pro"/>
          <w:sz w:val="28"/>
          <w:szCs w:val="28"/>
        </w:rPr>
        <w:t xml:space="preserve"> have shaped our perceptions of witches for almost a century. Of course, most people have heard of the Salem Witch Trials of 1692, and they may even know about similar “witch hunts” in Europe about the same time. However, witches can be found in many societies around the globe. This presentation looks at the cultural forces that have shaped beliefs concerning witches and witchcraft in many cultures throughout history.</w:t>
      </w:r>
    </w:p>
    <w:p w14:paraId="32DF927D" w14:textId="460395E2" w:rsidR="00FE766B" w:rsidRPr="00FE766B" w:rsidRDefault="00FE766B" w:rsidP="00FE766B">
      <w:pPr>
        <w:rPr>
          <w:rFonts w:ascii="Source Sans Pro" w:hAnsi="Source Sans Pro"/>
          <w:szCs w:val="24"/>
        </w:rPr>
      </w:pPr>
    </w:p>
    <w:p w14:paraId="1299DC17" w14:textId="77777777" w:rsidR="00FE766B" w:rsidRPr="00FE766B" w:rsidRDefault="00FE766B" w:rsidP="00FE766B">
      <w:pPr>
        <w:rPr>
          <w:rFonts w:ascii="Source Sans Pro" w:hAnsi="Source Sans Pro"/>
          <w:szCs w:val="24"/>
        </w:rPr>
      </w:pPr>
    </w:p>
    <w:p w14:paraId="6FD6FAB1" w14:textId="522465EC" w:rsidR="0056703E" w:rsidRPr="006D539F" w:rsidRDefault="0056703E" w:rsidP="00036561">
      <w:pPr>
        <w:ind w:firstLine="720"/>
        <w:rPr>
          <w:rFonts w:ascii="Source Sans Pro" w:hAnsi="Source Sans Pro"/>
          <w:b/>
          <w:bCs/>
          <w:sz w:val="36"/>
          <w:szCs w:val="36"/>
        </w:rPr>
      </w:pPr>
      <w:r w:rsidRPr="006D539F">
        <w:rPr>
          <w:rFonts w:ascii="Source Sans Pro" w:hAnsi="Source Sans Pro"/>
          <w:b/>
          <w:bCs/>
          <w:sz w:val="36"/>
          <w:szCs w:val="36"/>
        </w:rPr>
        <w:t>Art History</w:t>
      </w:r>
    </w:p>
    <w:p w14:paraId="178970BC" w14:textId="418822DA" w:rsidR="0056703E" w:rsidRPr="00BF71FF" w:rsidRDefault="0056703E" w:rsidP="0056703E">
      <w:pPr>
        <w:rPr>
          <w:rFonts w:ascii="Source Sans Pro" w:hAnsi="Source Sans Pro"/>
          <w:szCs w:val="24"/>
        </w:rPr>
      </w:pPr>
    </w:p>
    <w:p w14:paraId="1EADDDC3" w14:textId="46EC0DB3" w:rsidR="00407B87" w:rsidRPr="006D539F" w:rsidRDefault="00CE5FF6" w:rsidP="0056703E">
      <w:pPr>
        <w:rPr>
          <w:rFonts w:ascii="Source Sans Pro" w:hAnsi="Source Sans Pro"/>
          <w:b/>
          <w:bCs/>
          <w:i/>
          <w:iCs/>
          <w:sz w:val="32"/>
          <w:szCs w:val="32"/>
        </w:rPr>
      </w:pPr>
      <w:r>
        <w:rPr>
          <w:rFonts w:ascii="Source Sans Pro" w:hAnsi="Source Sans Pro"/>
          <w:b/>
          <w:bCs/>
          <w:i/>
          <w:iCs/>
          <w:sz w:val="32"/>
          <w:szCs w:val="32"/>
        </w:rPr>
        <w:t xml:space="preserve">The Art of </w:t>
      </w:r>
      <w:r w:rsidR="00407B87" w:rsidRPr="006D539F">
        <w:rPr>
          <w:rFonts w:ascii="Source Sans Pro" w:hAnsi="Source Sans Pro"/>
          <w:b/>
          <w:bCs/>
          <w:i/>
          <w:iCs/>
          <w:sz w:val="32"/>
          <w:szCs w:val="32"/>
        </w:rPr>
        <w:t xml:space="preserve">Nazi </w:t>
      </w:r>
      <w:r>
        <w:rPr>
          <w:rFonts w:ascii="Source Sans Pro" w:hAnsi="Source Sans Pro"/>
          <w:b/>
          <w:bCs/>
          <w:i/>
          <w:iCs/>
          <w:sz w:val="32"/>
          <w:szCs w:val="32"/>
        </w:rPr>
        <w:t>Germany</w:t>
      </w:r>
    </w:p>
    <w:p w14:paraId="7A3FBB9F" w14:textId="60822C79" w:rsidR="0056703E" w:rsidRPr="00BF71FF" w:rsidRDefault="0056703E" w:rsidP="0056703E">
      <w:pPr>
        <w:rPr>
          <w:rFonts w:ascii="Source Sans Pro" w:hAnsi="Source Sans Pro"/>
          <w:sz w:val="22"/>
        </w:rPr>
      </w:pPr>
    </w:p>
    <w:p w14:paraId="7CF0FB8A" w14:textId="530FA15B" w:rsidR="00407B87" w:rsidRPr="006D539F" w:rsidRDefault="00407B87" w:rsidP="0056703E">
      <w:pPr>
        <w:rPr>
          <w:rFonts w:ascii="Source Sans Pro" w:hAnsi="Source Sans Pro"/>
          <w:sz w:val="28"/>
          <w:szCs w:val="28"/>
        </w:rPr>
      </w:pPr>
      <w:r w:rsidRPr="006D539F">
        <w:rPr>
          <w:rFonts w:ascii="Source Sans Pro" w:hAnsi="Source Sans Pro"/>
          <w:sz w:val="28"/>
          <w:szCs w:val="28"/>
        </w:rPr>
        <w:t xml:space="preserve">From the end of World War II to the 1980s, historians paid </w:t>
      </w:r>
      <w:r w:rsidR="00BB1807">
        <w:rPr>
          <w:rFonts w:ascii="Source Sans Pro" w:hAnsi="Source Sans Pro"/>
          <w:sz w:val="28"/>
          <w:szCs w:val="28"/>
        </w:rPr>
        <w:t xml:space="preserve">the </w:t>
      </w:r>
      <w:r w:rsidRPr="006D539F">
        <w:rPr>
          <w:rFonts w:ascii="Source Sans Pro" w:hAnsi="Source Sans Pro"/>
          <w:sz w:val="28"/>
          <w:szCs w:val="28"/>
        </w:rPr>
        <w:t xml:space="preserve">art of the Nazi era little heed. They saw it as regressive and imitative; they saw </w:t>
      </w:r>
      <w:r w:rsidR="00BB1807">
        <w:rPr>
          <w:rFonts w:ascii="Source Sans Pro" w:hAnsi="Source Sans Pro"/>
          <w:sz w:val="28"/>
          <w:szCs w:val="28"/>
        </w:rPr>
        <w:t xml:space="preserve">it </w:t>
      </w:r>
      <w:r w:rsidRPr="006D539F">
        <w:rPr>
          <w:rFonts w:ascii="Source Sans Pro" w:hAnsi="Source Sans Pro"/>
          <w:sz w:val="28"/>
          <w:szCs w:val="28"/>
        </w:rPr>
        <w:t>as little more than propaganda for</w:t>
      </w:r>
      <w:r w:rsidR="00BB1807">
        <w:rPr>
          <w:rFonts w:ascii="Source Sans Pro" w:hAnsi="Source Sans Pro"/>
          <w:sz w:val="28"/>
          <w:szCs w:val="28"/>
        </w:rPr>
        <w:t xml:space="preserve"> a</w:t>
      </w:r>
      <w:r w:rsidRPr="006D539F">
        <w:rPr>
          <w:rFonts w:ascii="Source Sans Pro" w:hAnsi="Source Sans Pro"/>
          <w:sz w:val="28"/>
          <w:szCs w:val="28"/>
        </w:rPr>
        <w:t xml:space="preserve"> dictatorial regime. Since the 1990s, art scholars have </w:t>
      </w:r>
      <w:r w:rsidR="005C659D">
        <w:rPr>
          <w:rFonts w:ascii="Source Sans Pro" w:hAnsi="Source Sans Pro"/>
          <w:sz w:val="28"/>
          <w:szCs w:val="28"/>
        </w:rPr>
        <w:t xml:space="preserve">examined </w:t>
      </w:r>
      <w:r w:rsidRPr="006D539F">
        <w:rPr>
          <w:rFonts w:ascii="Source Sans Pro" w:hAnsi="Source Sans Pro"/>
          <w:sz w:val="28"/>
          <w:szCs w:val="28"/>
        </w:rPr>
        <w:t>Nazi</w:t>
      </w:r>
      <w:r w:rsidR="00BB1807">
        <w:rPr>
          <w:rFonts w:ascii="Source Sans Pro" w:hAnsi="Source Sans Pro"/>
          <w:sz w:val="28"/>
          <w:szCs w:val="28"/>
        </w:rPr>
        <w:t>-era</w:t>
      </w:r>
      <w:r w:rsidRPr="006D539F">
        <w:rPr>
          <w:rFonts w:ascii="Source Sans Pro" w:hAnsi="Source Sans Pro"/>
          <w:sz w:val="28"/>
          <w:szCs w:val="28"/>
        </w:rPr>
        <w:t xml:space="preserve"> art </w:t>
      </w:r>
      <w:r w:rsidR="005C659D">
        <w:rPr>
          <w:rFonts w:ascii="Source Sans Pro" w:hAnsi="Source Sans Pro"/>
          <w:sz w:val="28"/>
          <w:szCs w:val="28"/>
        </w:rPr>
        <w:t xml:space="preserve">more closely </w:t>
      </w:r>
      <w:r w:rsidRPr="006D539F">
        <w:rPr>
          <w:rFonts w:ascii="Source Sans Pro" w:hAnsi="Source Sans Pro"/>
          <w:sz w:val="28"/>
          <w:szCs w:val="28"/>
        </w:rPr>
        <w:t xml:space="preserve">and now realize that much of </w:t>
      </w:r>
      <w:r w:rsidR="00BB1807">
        <w:rPr>
          <w:rFonts w:ascii="Source Sans Pro" w:hAnsi="Source Sans Pro"/>
          <w:sz w:val="28"/>
          <w:szCs w:val="28"/>
        </w:rPr>
        <w:t xml:space="preserve">it </w:t>
      </w:r>
      <w:r w:rsidRPr="006D539F">
        <w:rPr>
          <w:rFonts w:ascii="Source Sans Pro" w:hAnsi="Source Sans Pro"/>
          <w:sz w:val="28"/>
          <w:szCs w:val="28"/>
        </w:rPr>
        <w:t xml:space="preserve">exhibited aspects of twentieth-century modernism. </w:t>
      </w:r>
      <w:r w:rsidR="00CE5FF6">
        <w:rPr>
          <w:rFonts w:ascii="Source Sans Pro" w:hAnsi="Source Sans Pro"/>
          <w:sz w:val="28"/>
          <w:szCs w:val="28"/>
        </w:rPr>
        <w:t xml:space="preserve">Contrary to popular belief, very little of this art was overtly political or fascist. </w:t>
      </w:r>
      <w:r w:rsidRPr="006D539F">
        <w:rPr>
          <w:rFonts w:ascii="Source Sans Pro" w:hAnsi="Source Sans Pro"/>
          <w:sz w:val="28"/>
          <w:szCs w:val="28"/>
        </w:rPr>
        <w:t>This talk explores a fascinating and little-known subject.</w:t>
      </w:r>
    </w:p>
    <w:p w14:paraId="13F2D3BF" w14:textId="77777777" w:rsidR="00036561" w:rsidRPr="00BF71FF" w:rsidRDefault="00036561" w:rsidP="0056703E">
      <w:pPr>
        <w:rPr>
          <w:rFonts w:ascii="Source Sans Pro" w:hAnsi="Source Sans Pro"/>
          <w:szCs w:val="24"/>
        </w:rPr>
      </w:pPr>
    </w:p>
    <w:p w14:paraId="1513B87C" w14:textId="3099361A" w:rsidR="00407B87" w:rsidRPr="00BF71FF" w:rsidRDefault="00407B87" w:rsidP="0056703E">
      <w:pPr>
        <w:rPr>
          <w:rFonts w:ascii="Source Sans Pro" w:hAnsi="Source Sans Pro"/>
          <w:szCs w:val="24"/>
        </w:rPr>
      </w:pPr>
    </w:p>
    <w:p w14:paraId="00BD611C" w14:textId="0C6E75F3" w:rsidR="00407B87" w:rsidRPr="006D539F" w:rsidRDefault="00407B87" w:rsidP="0056703E">
      <w:pPr>
        <w:rPr>
          <w:rFonts w:ascii="Source Sans Pro" w:hAnsi="Source Sans Pro"/>
          <w:b/>
          <w:bCs/>
          <w:i/>
          <w:iCs/>
          <w:sz w:val="32"/>
          <w:szCs w:val="32"/>
        </w:rPr>
      </w:pPr>
      <w:r w:rsidRPr="006D539F">
        <w:rPr>
          <w:rFonts w:ascii="Source Sans Pro" w:hAnsi="Source Sans Pro"/>
          <w:b/>
          <w:bCs/>
          <w:i/>
          <w:iCs/>
          <w:sz w:val="32"/>
          <w:szCs w:val="32"/>
        </w:rPr>
        <w:t>German Industrial Art of the Early Twentieth Century</w:t>
      </w:r>
    </w:p>
    <w:p w14:paraId="2F31B037" w14:textId="615B98EC" w:rsidR="00407B87" w:rsidRPr="00BF71FF" w:rsidRDefault="00407B87" w:rsidP="0056703E">
      <w:pPr>
        <w:rPr>
          <w:rFonts w:ascii="Source Sans Pro" w:hAnsi="Source Sans Pro"/>
          <w:szCs w:val="24"/>
        </w:rPr>
      </w:pPr>
    </w:p>
    <w:p w14:paraId="12066E3A" w14:textId="375D3692" w:rsidR="00407B87" w:rsidRPr="006D539F" w:rsidRDefault="00407B87" w:rsidP="0056703E">
      <w:pPr>
        <w:rPr>
          <w:rFonts w:ascii="Source Sans Pro" w:hAnsi="Source Sans Pro"/>
          <w:sz w:val="28"/>
          <w:szCs w:val="28"/>
        </w:rPr>
      </w:pPr>
      <w:r w:rsidRPr="006D539F">
        <w:rPr>
          <w:rFonts w:ascii="Source Sans Pro" w:hAnsi="Source Sans Pro"/>
          <w:sz w:val="28"/>
          <w:szCs w:val="28"/>
        </w:rPr>
        <w:t xml:space="preserve">In 1875, the German artist Adolph Menzel completed his famous painting </w:t>
      </w:r>
      <w:r w:rsidRPr="006D539F">
        <w:rPr>
          <w:rFonts w:ascii="Source Sans Pro" w:hAnsi="Source Sans Pro"/>
          <w:i/>
          <w:iCs/>
          <w:sz w:val="28"/>
          <w:szCs w:val="28"/>
        </w:rPr>
        <w:t>Iron Rolling Mill</w:t>
      </w:r>
      <w:r w:rsidRPr="006D539F">
        <w:rPr>
          <w:rFonts w:ascii="Source Sans Pro" w:hAnsi="Source Sans Pro"/>
          <w:sz w:val="28"/>
          <w:szCs w:val="28"/>
        </w:rPr>
        <w:t xml:space="preserve"> and initiated a new style and school of painting that would be unique to German art for the next half century. Industrial art sought to depict the mighty factories of the Ruhr Valley </w:t>
      </w:r>
      <w:r w:rsidR="00BB1807">
        <w:rPr>
          <w:rFonts w:ascii="Source Sans Pro" w:hAnsi="Source Sans Pro"/>
          <w:sz w:val="28"/>
          <w:szCs w:val="28"/>
        </w:rPr>
        <w:t xml:space="preserve">and other German industrial districts </w:t>
      </w:r>
      <w:r w:rsidRPr="006D539F">
        <w:rPr>
          <w:rFonts w:ascii="Source Sans Pro" w:hAnsi="Source Sans Pro"/>
          <w:sz w:val="28"/>
          <w:szCs w:val="28"/>
        </w:rPr>
        <w:t xml:space="preserve">as temples of </w:t>
      </w:r>
      <w:r w:rsidR="00BB1807">
        <w:rPr>
          <w:rFonts w:ascii="Source Sans Pro" w:hAnsi="Source Sans Pro"/>
          <w:sz w:val="28"/>
          <w:szCs w:val="28"/>
        </w:rPr>
        <w:t>national</w:t>
      </w:r>
      <w:r w:rsidRPr="006D539F">
        <w:rPr>
          <w:rFonts w:ascii="Source Sans Pro" w:hAnsi="Source Sans Pro"/>
          <w:sz w:val="28"/>
          <w:szCs w:val="28"/>
        </w:rPr>
        <w:t xml:space="preserve"> strength and </w:t>
      </w:r>
      <w:r w:rsidR="00C4384F">
        <w:rPr>
          <w:rFonts w:ascii="Source Sans Pro" w:hAnsi="Source Sans Pro"/>
          <w:sz w:val="28"/>
          <w:szCs w:val="28"/>
        </w:rPr>
        <w:t>technological savvy</w:t>
      </w:r>
      <w:r w:rsidRPr="006D539F">
        <w:rPr>
          <w:rFonts w:ascii="Source Sans Pro" w:hAnsi="Source Sans Pro"/>
          <w:sz w:val="28"/>
          <w:szCs w:val="28"/>
        </w:rPr>
        <w:t>. This talk examines the rise and fall of the ‘Heroic School’ of German industrial art.</w:t>
      </w:r>
    </w:p>
    <w:p w14:paraId="6A31C82A" w14:textId="3A7D65B9" w:rsidR="00407B87" w:rsidRDefault="00407B87" w:rsidP="0056703E">
      <w:pPr>
        <w:rPr>
          <w:rFonts w:ascii="Source Sans Pro" w:hAnsi="Source Sans Pro"/>
          <w:szCs w:val="24"/>
        </w:rPr>
      </w:pPr>
    </w:p>
    <w:p w14:paraId="77B43EF3" w14:textId="77777777" w:rsidR="00BF71FF" w:rsidRPr="00BF71FF" w:rsidRDefault="00BF71FF" w:rsidP="0056703E">
      <w:pPr>
        <w:rPr>
          <w:rFonts w:ascii="Source Sans Pro" w:hAnsi="Source Sans Pro"/>
          <w:szCs w:val="24"/>
        </w:rPr>
      </w:pPr>
    </w:p>
    <w:p w14:paraId="256BA549" w14:textId="65B1F630" w:rsidR="00407B87" w:rsidRPr="008F12F5" w:rsidRDefault="00407B87" w:rsidP="0056703E">
      <w:pPr>
        <w:rPr>
          <w:rFonts w:ascii="Source Sans Pro" w:hAnsi="Source Sans Pro"/>
          <w:b/>
          <w:bCs/>
          <w:i/>
          <w:iCs/>
          <w:sz w:val="32"/>
          <w:szCs w:val="32"/>
        </w:rPr>
      </w:pPr>
      <w:r w:rsidRPr="008F12F5">
        <w:rPr>
          <w:rFonts w:ascii="Source Sans Pro" w:hAnsi="Source Sans Pro"/>
          <w:b/>
          <w:bCs/>
          <w:i/>
          <w:iCs/>
          <w:sz w:val="32"/>
          <w:szCs w:val="32"/>
        </w:rPr>
        <w:t xml:space="preserve">Erich </w:t>
      </w:r>
      <w:proofErr w:type="spellStart"/>
      <w:r w:rsidRPr="008F12F5">
        <w:rPr>
          <w:rFonts w:ascii="Source Sans Pro" w:hAnsi="Source Sans Pro"/>
          <w:b/>
          <w:bCs/>
          <w:i/>
          <w:iCs/>
          <w:sz w:val="32"/>
          <w:szCs w:val="32"/>
        </w:rPr>
        <w:t>Mercker</w:t>
      </w:r>
      <w:proofErr w:type="spellEnd"/>
      <w:r w:rsidRPr="008F12F5">
        <w:rPr>
          <w:rFonts w:ascii="Source Sans Pro" w:hAnsi="Source Sans Pro"/>
          <w:b/>
          <w:bCs/>
          <w:i/>
          <w:iCs/>
          <w:sz w:val="32"/>
          <w:szCs w:val="32"/>
        </w:rPr>
        <w:t>: German Landscape and Industrial Painter</w:t>
      </w:r>
    </w:p>
    <w:p w14:paraId="773E8B4A" w14:textId="77777777" w:rsidR="00036561" w:rsidRPr="00BF71FF" w:rsidRDefault="00036561" w:rsidP="0056703E">
      <w:pPr>
        <w:rPr>
          <w:rFonts w:ascii="Source Sans Pro" w:hAnsi="Source Sans Pro"/>
          <w:b/>
          <w:bCs/>
          <w:i/>
          <w:iCs/>
          <w:szCs w:val="24"/>
        </w:rPr>
      </w:pPr>
    </w:p>
    <w:p w14:paraId="6FD8885F" w14:textId="49A851AF" w:rsidR="00407B87" w:rsidRPr="006D539F" w:rsidRDefault="00036561" w:rsidP="0056703E">
      <w:pPr>
        <w:rPr>
          <w:rFonts w:ascii="Source Sans Pro" w:hAnsi="Source Sans Pro"/>
          <w:sz w:val="28"/>
          <w:szCs w:val="28"/>
        </w:rPr>
      </w:pPr>
      <w:r w:rsidRPr="006D539F">
        <w:rPr>
          <w:rFonts w:ascii="Source Sans Pro" w:hAnsi="Source Sans Pro"/>
          <w:sz w:val="28"/>
          <w:szCs w:val="28"/>
        </w:rPr>
        <w:t xml:space="preserve">Erich </w:t>
      </w:r>
      <w:proofErr w:type="spellStart"/>
      <w:r w:rsidRPr="006D539F">
        <w:rPr>
          <w:rFonts w:ascii="Source Sans Pro" w:hAnsi="Source Sans Pro"/>
          <w:sz w:val="28"/>
          <w:szCs w:val="28"/>
        </w:rPr>
        <w:t>Mercker’s</w:t>
      </w:r>
      <w:proofErr w:type="spellEnd"/>
      <w:r w:rsidRPr="006D539F">
        <w:rPr>
          <w:rFonts w:ascii="Source Sans Pro" w:hAnsi="Source Sans Pro"/>
          <w:sz w:val="28"/>
          <w:szCs w:val="28"/>
        </w:rPr>
        <w:t xml:space="preserve"> fifty</w:t>
      </w:r>
      <w:r w:rsidR="00BB1807">
        <w:rPr>
          <w:rFonts w:ascii="Source Sans Pro" w:hAnsi="Source Sans Pro"/>
          <w:sz w:val="28"/>
          <w:szCs w:val="28"/>
        </w:rPr>
        <w:t>-</w:t>
      </w:r>
      <w:r w:rsidRPr="006D539F">
        <w:rPr>
          <w:rFonts w:ascii="Source Sans Pro" w:hAnsi="Source Sans Pro"/>
          <w:sz w:val="28"/>
          <w:szCs w:val="28"/>
        </w:rPr>
        <w:t>year career as a painter in Germany spanned several crucial eras. He was born into a Germany under the Kaiser, witnessed his country</w:t>
      </w:r>
      <w:r w:rsidR="00BB1807">
        <w:rPr>
          <w:rFonts w:ascii="Source Sans Pro" w:hAnsi="Source Sans Pro"/>
          <w:sz w:val="28"/>
          <w:szCs w:val="28"/>
        </w:rPr>
        <w:t>’s</w:t>
      </w:r>
      <w:r w:rsidRPr="006D539F">
        <w:rPr>
          <w:rFonts w:ascii="Source Sans Pro" w:hAnsi="Source Sans Pro"/>
          <w:sz w:val="28"/>
          <w:szCs w:val="28"/>
        </w:rPr>
        <w:t xml:space="preserve"> tragic loss during World War I, lived through the chaos and upheaval of</w:t>
      </w:r>
      <w:r w:rsidR="008F12F5">
        <w:rPr>
          <w:rFonts w:ascii="Source Sans Pro" w:hAnsi="Source Sans Pro"/>
          <w:sz w:val="28"/>
          <w:szCs w:val="28"/>
        </w:rPr>
        <w:t xml:space="preserve"> the</w:t>
      </w:r>
      <w:r w:rsidRPr="006D539F">
        <w:rPr>
          <w:rFonts w:ascii="Source Sans Pro" w:hAnsi="Source Sans Pro"/>
          <w:sz w:val="28"/>
          <w:szCs w:val="28"/>
        </w:rPr>
        <w:t xml:space="preserve"> Weimar </w:t>
      </w:r>
      <w:r w:rsidR="00BB1807">
        <w:rPr>
          <w:rFonts w:ascii="Source Sans Pro" w:hAnsi="Source Sans Pro"/>
          <w:sz w:val="28"/>
          <w:szCs w:val="28"/>
        </w:rPr>
        <w:t>era</w:t>
      </w:r>
      <w:r w:rsidRPr="006D539F">
        <w:rPr>
          <w:rFonts w:ascii="Source Sans Pro" w:hAnsi="Source Sans Pro"/>
          <w:sz w:val="28"/>
          <w:szCs w:val="28"/>
        </w:rPr>
        <w:t xml:space="preserve">, and reached dizzying heights of success under the Third Reich. All </w:t>
      </w:r>
      <w:r w:rsidR="00F74E2F">
        <w:rPr>
          <w:rFonts w:ascii="Source Sans Pro" w:hAnsi="Source Sans Pro"/>
          <w:sz w:val="28"/>
          <w:szCs w:val="28"/>
        </w:rPr>
        <w:t>t</w:t>
      </w:r>
      <w:r w:rsidRPr="006D539F">
        <w:rPr>
          <w:rFonts w:ascii="Source Sans Pro" w:hAnsi="Source Sans Pro"/>
          <w:sz w:val="28"/>
          <w:szCs w:val="28"/>
        </w:rPr>
        <w:t xml:space="preserve">his success ended with </w:t>
      </w:r>
      <w:r w:rsidR="00F60958">
        <w:rPr>
          <w:rFonts w:ascii="Source Sans Pro" w:hAnsi="Source Sans Pro"/>
          <w:sz w:val="28"/>
          <w:szCs w:val="28"/>
        </w:rPr>
        <w:t xml:space="preserve">the </w:t>
      </w:r>
      <w:r w:rsidRPr="006D539F">
        <w:rPr>
          <w:rFonts w:ascii="Source Sans Pro" w:hAnsi="Source Sans Pro"/>
          <w:sz w:val="28"/>
          <w:szCs w:val="28"/>
        </w:rPr>
        <w:t>destruction of Nazi</w:t>
      </w:r>
      <w:r w:rsidR="005C659D">
        <w:rPr>
          <w:rFonts w:ascii="Source Sans Pro" w:hAnsi="Source Sans Pro"/>
          <w:sz w:val="28"/>
          <w:szCs w:val="28"/>
        </w:rPr>
        <w:t xml:space="preserve"> </w:t>
      </w:r>
      <w:r w:rsidRPr="006D539F">
        <w:rPr>
          <w:rFonts w:ascii="Source Sans Pro" w:hAnsi="Source Sans Pro"/>
          <w:sz w:val="28"/>
          <w:szCs w:val="28"/>
        </w:rPr>
        <w:t xml:space="preserve">Germany in 1945. This talk looks at the landscape and industrial paintings that defined </w:t>
      </w:r>
      <w:proofErr w:type="spellStart"/>
      <w:r w:rsidR="00F74E2F">
        <w:rPr>
          <w:rFonts w:ascii="Source Sans Pro" w:hAnsi="Source Sans Pro"/>
          <w:sz w:val="28"/>
          <w:szCs w:val="28"/>
        </w:rPr>
        <w:t>Mercker’</w:t>
      </w:r>
      <w:r w:rsidRPr="006D539F">
        <w:rPr>
          <w:rFonts w:ascii="Source Sans Pro" w:hAnsi="Source Sans Pro"/>
          <w:sz w:val="28"/>
          <w:szCs w:val="28"/>
        </w:rPr>
        <w:t>s</w:t>
      </w:r>
      <w:proofErr w:type="spellEnd"/>
      <w:r w:rsidRPr="006D539F">
        <w:rPr>
          <w:rFonts w:ascii="Source Sans Pro" w:hAnsi="Source Sans Pro"/>
          <w:sz w:val="28"/>
          <w:szCs w:val="28"/>
        </w:rPr>
        <w:t xml:space="preserve"> art.</w:t>
      </w:r>
    </w:p>
    <w:p w14:paraId="5AD0AC9B" w14:textId="1293CCB6" w:rsidR="00407B87" w:rsidRPr="00BF71FF" w:rsidRDefault="00407B87" w:rsidP="0056703E">
      <w:pPr>
        <w:rPr>
          <w:rFonts w:ascii="Source Sans Pro" w:hAnsi="Source Sans Pro"/>
          <w:szCs w:val="24"/>
        </w:rPr>
      </w:pPr>
    </w:p>
    <w:p w14:paraId="4B212E9E" w14:textId="77777777" w:rsidR="00EA0EBA" w:rsidRPr="00BF71FF" w:rsidRDefault="00EA0EBA" w:rsidP="0056703E">
      <w:pPr>
        <w:rPr>
          <w:rFonts w:ascii="Source Sans Pro" w:hAnsi="Source Sans Pro"/>
          <w:szCs w:val="24"/>
        </w:rPr>
      </w:pPr>
    </w:p>
    <w:p w14:paraId="74E8D5E3" w14:textId="3826DB76" w:rsidR="00B570D5" w:rsidRPr="006D539F" w:rsidRDefault="00B570D5" w:rsidP="00B570D5">
      <w:pPr>
        <w:ind w:firstLine="720"/>
        <w:rPr>
          <w:rFonts w:ascii="Source Sans Pro" w:hAnsi="Source Sans Pro"/>
          <w:b/>
          <w:bCs/>
          <w:sz w:val="36"/>
          <w:szCs w:val="36"/>
        </w:rPr>
      </w:pPr>
      <w:r w:rsidRPr="006D539F">
        <w:rPr>
          <w:rFonts w:ascii="Source Sans Pro" w:hAnsi="Source Sans Pro"/>
          <w:b/>
          <w:bCs/>
          <w:sz w:val="36"/>
          <w:szCs w:val="36"/>
        </w:rPr>
        <w:t>History of the Midwest</w:t>
      </w:r>
    </w:p>
    <w:p w14:paraId="45BE008E" w14:textId="47E820E5" w:rsidR="00B570D5" w:rsidRPr="00BF71FF" w:rsidRDefault="00B570D5" w:rsidP="0056703E">
      <w:pPr>
        <w:rPr>
          <w:rFonts w:ascii="Source Sans Pro" w:hAnsi="Source Sans Pro"/>
          <w:szCs w:val="24"/>
        </w:rPr>
      </w:pPr>
    </w:p>
    <w:p w14:paraId="2F42D080" w14:textId="3D3ABCA0" w:rsidR="00EA0EBA" w:rsidRPr="006D539F" w:rsidRDefault="00EA0EBA" w:rsidP="0056703E">
      <w:pPr>
        <w:rPr>
          <w:rFonts w:ascii="Source Sans Pro" w:hAnsi="Source Sans Pro"/>
          <w:b/>
          <w:bCs/>
          <w:i/>
          <w:iCs/>
          <w:sz w:val="28"/>
          <w:szCs w:val="28"/>
        </w:rPr>
      </w:pPr>
      <w:r w:rsidRPr="006D539F">
        <w:rPr>
          <w:rFonts w:ascii="Source Sans Pro" w:hAnsi="Source Sans Pro"/>
          <w:b/>
          <w:bCs/>
          <w:i/>
          <w:iCs/>
          <w:sz w:val="28"/>
          <w:szCs w:val="28"/>
        </w:rPr>
        <w:t>The Black Hawk War of 1832</w:t>
      </w:r>
    </w:p>
    <w:p w14:paraId="11631866" w14:textId="608A0B4B" w:rsidR="00EA0EBA" w:rsidRPr="00BF71FF" w:rsidRDefault="00EA0EBA" w:rsidP="0056703E">
      <w:pPr>
        <w:rPr>
          <w:rFonts w:ascii="Source Sans Pro" w:hAnsi="Source Sans Pro"/>
          <w:szCs w:val="24"/>
        </w:rPr>
      </w:pPr>
    </w:p>
    <w:p w14:paraId="2AE0150A" w14:textId="01BA18CD" w:rsidR="00EA0EBA" w:rsidRPr="006D539F" w:rsidRDefault="00EA0EBA" w:rsidP="0056703E">
      <w:pPr>
        <w:rPr>
          <w:rFonts w:ascii="Source Sans Pro" w:hAnsi="Source Sans Pro"/>
          <w:sz w:val="28"/>
          <w:szCs w:val="28"/>
        </w:rPr>
      </w:pPr>
      <w:r w:rsidRPr="006D539F">
        <w:rPr>
          <w:rFonts w:ascii="Source Sans Pro" w:hAnsi="Source Sans Pro"/>
          <w:sz w:val="28"/>
          <w:szCs w:val="28"/>
        </w:rPr>
        <w:t xml:space="preserve">From May to August 1832, the United States fought the Sauk and </w:t>
      </w:r>
      <w:r w:rsidR="005C659D">
        <w:rPr>
          <w:rFonts w:ascii="Source Sans Pro" w:hAnsi="Source Sans Pro"/>
          <w:sz w:val="28"/>
          <w:szCs w:val="28"/>
        </w:rPr>
        <w:t>Meskwaki</w:t>
      </w:r>
      <w:r w:rsidRPr="006D539F">
        <w:rPr>
          <w:rFonts w:ascii="Source Sans Pro" w:hAnsi="Source Sans Pro"/>
          <w:sz w:val="28"/>
          <w:szCs w:val="28"/>
        </w:rPr>
        <w:t xml:space="preserve"> Indians led by Black Hawk. This short but violent war </w:t>
      </w:r>
      <w:r w:rsidR="005C659D">
        <w:rPr>
          <w:rFonts w:ascii="Source Sans Pro" w:hAnsi="Source Sans Pro"/>
          <w:sz w:val="28"/>
          <w:szCs w:val="28"/>
        </w:rPr>
        <w:t xml:space="preserve">resulted in </w:t>
      </w:r>
      <w:r w:rsidR="00F74E2F">
        <w:rPr>
          <w:rFonts w:ascii="Source Sans Pro" w:hAnsi="Source Sans Pro"/>
          <w:sz w:val="28"/>
          <w:szCs w:val="28"/>
        </w:rPr>
        <w:t xml:space="preserve">the </w:t>
      </w:r>
      <w:r w:rsidRPr="006D539F">
        <w:rPr>
          <w:rFonts w:ascii="Source Sans Pro" w:hAnsi="Source Sans Pro"/>
          <w:sz w:val="28"/>
          <w:szCs w:val="28"/>
        </w:rPr>
        <w:t>death</w:t>
      </w:r>
      <w:r w:rsidR="005C659D">
        <w:rPr>
          <w:rFonts w:ascii="Source Sans Pro" w:hAnsi="Source Sans Pro"/>
          <w:sz w:val="28"/>
          <w:szCs w:val="28"/>
        </w:rPr>
        <w:t>s</w:t>
      </w:r>
      <w:r w:rsidRPr="006D539F">
        <w:rPr>
          <w:rFonts w:ascii="Source Sans Pro" w:hAnsi="Source Sans Pro"/>
          <w:sz w:val="28"/>
          <w:szCs w:val="28"/>
        </w:rPr>
        <w:t xml:space="preserve"> of almost five hundred Native </w:t>
      </w:r>
      <w:r w:rsidR="00C4384F">
        <w:rPr>
          <w:rFonts w:ascii="Source Sans Pro" w:hAnsi="Source Sans Pro"/>
          <w:sz w:val="28"/>
          <w:szCs w:val="28"/>
        </w:rPr>
        <w:t xml:space="preserve">American </w:t>
      </w:r>
      <w:r w:rsidRPr="006D539F">
        <w:rPr>
          <w:rFonts w:ascii="Source Sans Pro" w:hAnsi="Source Sans Pro"/>
          <w:sz w:val="28"/>
          <w:szCs w:val="28"/>
        </w:rPr>
        <w:t xml:space="preserve">people who followed Black Hawk. While </w:t>
      </w:r>
      <w:r w:rsidR="005C659D">
        <w:rPr>
          <w:rFonts w:ascii="Source Sans Pro" w:hAnsi="Source Sans Pro"/>
          <w:sz w:val="28"/>
          <w:szCs w:val="28"/>
        </w:rPr>
        <w:t xml:space="preserve">contemporary </w:t>
      </w:r>
      <w:r w:rsidRPr="006D539F">
        <w:rPr>
          <w:rFonts w:ascii="Source Sans Pro" w:hAnsi="Source Sans Pro"/>
          <w:sz w:val="28"/>
          <w:szCs w:val="28"/>
        </w:rPr>
        <w:t>residents of Illinois and Wisconsin have heard of this conflict, they often know little about it. This talk provides a solid historical overview of the Black Hawk War.</w:t>
      </w:r>
    </w:p>
    <w:p w14:paraId="2C820202" w14:textId="6D22A0D6" w:rsidR="00EA0EBA" w:rsidRPr="00BF71FF" w:rsidRDefault="00EA0EBA" w:rsidP="0056703E">
      <w:pPr>
        <w:rPr>
          <w:rFonts w:ascii="Source Sans Pro" w:hAnsi="Source Sans Pro"/>
          <w:szCs w:val="24"/>
        </w:rPr>
      </w:pPr>
    </w:p>
    <w:p w14:paraId="648132B1" w14:textId="77777777" w:rsidR="003A3771" w:rsidRPr="00BF71FF" w:rsidRDefault="003A3771" w:rsidP="0056703E">
      <w:pPr>
        <w:rPr>
          <w:rFonts w:ascii="Source Sans Pro" w:hAnsi="Source Sans Pro"/>
          <w:szCs w:val="24"/>
        </w:rPr>
      </w:pPr>
    </w:p>
    <w:p w14:paraId="4B3FCC6F" w14:textId="77777777" w:rsidR="00EA0EBA" w:rsidRPr="006D539F" w:rsidRDefault="00EA0EBA" w:rsidP="00EA0EBA">
      <w:pPr>
        <w:rPr>
          <w:rFonts w:ascii="Source Sans Pro" w:hAnsi="Source Sans Pro"/>
          <w:b/>
          <w:bCs/>
          <w:i/>
          <w:iCs/>
          <w:sz w:val="32"/>
          <w:szCs w:val="32"/>
        </w:rPr>
      </w:pPr>
      <w:r w:rsidRPr="006D539F">
        <w:rPr>
          <w:rFonts w:ascii="Source Sans Pro" w:hAnsi="Source Sans Pro"/>
          <w:b/>
          <w:bCs/>
          <w:i/>
          <w:iCs/>
          <w:sz w:val="32"/>
          <w:szCs w:val="32"/>
        </w:rPr>
        <w:t>Bondage in the Land of the Free: Slavery in Wisconsin Before the Civil War</w:t>
      </w:r>
    </w:p>
    <w:p w14:paraId="69929D2E" w14:textId="77777777" w:rsidR="00EA0EBA" w:rsidRPr="00BF71FF" w:rsidRDefault="00EA0EBA" w:rsidP="00EA0EBA">
      <w:pPr>
        <w:rPr>
          <w:rFonts w:ascii="Source Sans Pro" w:hAnsi="Source Sans Pro"/>
          <w:szCs w:val="24"/>
        </w:rPr>
      </w:pPr>
    </w:p>
    <w:p w14:paraId="38A4EC44" w14:textId="7F668E2B" w:rsidR="00EA0EBA" w:rsidRPr="006D539F" w:rsidRDefault="00EA0EBA" w:rsidP="00EA0EBA">
      <w:pPr>
        <w:rPr>
          <w:rFonts w:ascii="Source Sans Pro" w:hAnsi="Source Sans Pro"/>
          <w:sz w:val="28"/>
          <w:szCs w:val="28"/>
        </w:rPr>
      </w:pPr>
      <w:r w:rsidRPr="006D539F">
        <w:rPr>
          <w:rFonts w:ascii="Source Sans Pro" w:hAnsi="Source Sans Pro"/>
          <w:sz w:val="28"/>
          <w:szCs w:val="28"/>
        </w:rPr>
        <w:t xml:space="preserve">Most people tend to associate Wisconsin with the Union and the destruction of slavery during the Civil War. Many people are surprised to learn that Wisconsin and other states of </w:t>
      </w:r>
      <w:r w:rsidR="00F60958">
        <w:rPr>
          <w:rFonts w:ascii="Source Sans Pro" w:hAnsi="Source Sans Pro"/>
          <w:sz w:val="28"/>
          <w:szCs w:val="28"/>
        </w:rPr>
        <w:t xml:space="preserve">the </w:t>
      </w:r>
      <w:r w:rsidRPr="006D539F">
        <w:rPr>
          <w:rFonts w:ascii="Source Sans Pro" w:hAnsi="Source Sans Pro"/>
          <w:sz w:val="28"/>
          <w:szCs w:val="28"/>
        </w:rPr>
        <w:t xml:space="preserve">Midwest allowed slavery in the decades before the Civil War. This talk examines the institution of slavery as practiced by the American Indian and French communities in the centuries before Anglo-American settlement after the War of 1812, and </w:t>
      </w:r>
      <w:r w:rsidR="00F74E2F">
        <w:rPr>
          <w:rFonts w:ascii="Source Sans Pro" w:hAnsi="Source Sans Pro"/>
          <w:sz w:val="28"/>
          <w:szCs w:val="28"/>
        </w:rPr>
        <w:t xml:space="preserve">the </w:t>
      </w:r>
      <w:r w:rsidRPr="006D539F">
        <w:rPr>
          <w:rFonts w:ascii="Source Sans Pro" w:hAnsi="Source Sans Pro"/>
          <w:sz w:val="28"/>
          <w:szCs w:val="28"/>
        </w:rPr>
        <w:t xml:space="preserve">tolerance </w:t>
      </w:r>
      <w:r w:rsidR="00F74E2F">
        <w:rPr>
          <w:rFonts w:ascii="Source Sans Pro" w:hAnsi="Source Sans Pro"/>
          <w:sz w:val="28"/>
          <w:szCs w:val="28"/>
        </w:rPr>
        <w:t xml:space="preserve">toward </w:t>
      </w:r>
      <w:r w:rsidRPr="006D539F">
        <w:rPr>
          <w:rFonts w:ascii="Source Sans Pro" w:hAnsi="Source Sans Pro"/>
          <w:sz w:val="28"/>
          <w:szCs w:val="28"/>
        </w:rPr>
        <w:t xml:space="preserve">slavery among the </w:t>
      </w:r>
      <w:r w:rsidR="00F60958">
        <w:rPr>
          <w:rFonts w:ascii="Source Sans Pro" w:hAnsi="Source Sans Pro"/>
          <w:sz w:val="28"/>
          <w:szCs w:val="28"/>
        </w:rPr>
        <w:t xml:space="preserve">first </w:t>
      </w:r>
      <w:r w:rsidRPr="006D539F">
        <w:rPr>
          <w:rFonts w:ascii="Source Sans Pro" w:hAnsi="Source Sans Pro"/>
          <w:sz w:val="28"/>
          <w:szCs w:val="28"/>
        </w:rPr>
        <w:t>white settlers who made Wisconsin home between 1815 and 1848.</w:t>
      </w:r>
    </w:p>
    <w:p w14:paraId="55C339D9" w14:textId="77E05446" w:rsidR="00EA0EBA" w:rsidRPr="00BF71FF" w:rsidRDefault="00EA0EBA" w:rsidP="0056703E">
      <w:pPr>
        <w:rPr>
          <w:rFonts w:ascii="Source Sans Pro" w:hAnsi="Source Sans Pro"/>
          <w:szCs w:val="24"/>
        </w:rPr>
      </w:pPr>
    </w:p>
    <w:p w14:paraId="740DFC16" w14:textId="77777777" w:rsidR="00F57F17" w:rsidRPr="00BF71FF" w:rsidRDefault="00F57F17" w:rsidP="0056703E">
      <w:pPr>
        <w:rPr>
          <w:rFonts w:ascii="Source Sans Pro" w:hAnsi="Source Sans Pro"/>
          <w:szCs w:val="24"/>
        </w:rPr>
      </w:pPr>
    </w:p>
    <w:p w14:paraId="73FAD4AC" w14:textId="3BC9E050" w:rsidR="00EA0EBA" w:rsidRPr="006D539F" w:rsidRDefault="00EA0EBA" w:rsidP="0056703E">
      <w:pPr>
        <w:rPr>
          <w:rFonts w:ascii="Source Sans Pro" w:hAnsi="Source Sans Pro"/>
          <w:b/>
          <w:bCs/>
          <w:i/>
          <w:iCs/>
          <w:sz w:val="32"/>
          <w:szCs w:val="32"/>
        </w:rPr>
      </w:pPr>
      <w:r w:rsidRPr="006D539F">
        <w:rPr>
          <w:rFonts w:ascii="Source Sans Pro" w:hAnsi="Source Sans Pro"/>
          <w:b/>
          <w:bCs/>
          <w:i/>
          <w:iCs/>
          <w:sz w:val="32"/>
          <w:szCs w:val="32"/>
        </w:rPr>
        <w:t>Jean Nicolet: French Explorer and Diplomat</w:t>
      </w:r>
    </w:p>
    <w:p w14:paraId="4AAF34F4" w14:textId="3E8F50F4" w:rsidR="003A3771" w:rsidRPr="00BF71FF" w:rsidRDefault="003A3771" w:rsidP="0056703E">
      <w:pPr>
        <w:rPr>
          <w:rFonts w:ascii="Source Sans Pro" w:hAnsi="Source Sans Pro"/>
          <w:sz w:val="22"/>
        </w:rPr>
      </w:pPr>
    </w:p>
    <w:p w14:paraId="1EDAB5E2" w14:textId="4FC0FDD9" w:rsidR="00BF71FF" w:rsidRDefault="003A3771" w:rsidP="0056703E">
      <w:pPr>
        <w:rPr>
          <w:rFonts w:ascii="Source Sans Pro" w:hAnsi="Source Sans Pro"/>
          <w:sz w:val="28"/>
          <w:szCs w:val="28"/>
        </w:rPr>
      </w:pPr>
      <w:r w:rsidRPr="006D539F">
        <w:rPr>
          <w:rFonts w:ascii="Source Sans Pro" w:hAnsi="Source Sans Pro"/>
          <w:sz w:val="28"/>
          <w:szCs w:val="28"/>
        </w:rPr>
        <w:t xml:space="preserve">The word “Nicolet” is affixed to many place names in Wisconsin: streets, schools, and even a national forest. Who was Jean Nicolet, and why did he undertake a journey to Wisconsin in 1634? Why are there so many debates as to the location of his final landfall? This </w:t>
      </w:r>
      <w:r w:rsidR="008F12F5">
        <w:rPr>
          <w:rFonts w:ascii="Source Sans Pro" w:hAnsi="Source Sans Pro"/>
          <w:sz w:val="28"/>
          <w:szCs w:val="28"/>
        </w:rPr>
        <w:t xml:space="preserve">presentation </w:t>
      </w:r>
      <w:r w:rsidRPr="006D539F">
        <w:rPr>
          <w:rFonts w:ascii="Source Sans Pro" w:hAnsi="Source Sans Pro"/>
          <w:sz w:val="28"/>
          <w:szCs w:val="28"/>
        </w:rPr>
        <w:t>answer</w:t>
      </w:r>
      <w:r w:rsidR="00F74E2F">
        <w:rPr>
          <w:rFonts w:ascii="Source Sans Pro" w:hAnsi="Source Sans Pro"/>
          <w:sz w:val="28"/>
          <w:szCs w:val="28"/>
        </w:rPr>
        <w:t>s</w:t>
      </w:r>
      <w:r w:rsidRPr="006D539F">
        <w:rPr>
          <w:rFonts w:ascii="Source Sans Pro" w:hAnsi="Source Sans Pro"/>
          <w:sz w:val="28"/>
          <w:szCs w:val="28"/>
        </w:rPr>
        <w:t xml:space="preserve"> these questions about this fascinating historical figure.</w:t>
      </w:r>
    </w:p>
    <w:p w14:paraId="007E8761" w14:textId="111C4BC3" w:rsidR="00FE766B" w:rsidRPr="00FE766B" w:rsidRDefault="00FE766B" w:rsidP="00FE766B">
      <w:pPr>
        <w:rPr>
          <w:rFonts w:ascii="Source Sans Pro" w:hAnsi="Source Sans Pro"/>
          <w:szCs w:val="24"/>
        </w:rPr>
      </w:pPr>
    </w:p>
    <w:p w14:paraId="0593422C" w14:textId="77777777" w:rsidR="00FE766B" w:rsidRPr="00FE766B" w:rsidRDefault="00FE766B" w:rsidP="00FE766B">
      <w:pPr>
        <w:rPr>
          <w:rFonts w:ascii="Source Sans Pro" w:hAnsi="Source Sans Pro"/>
          <w:szCs w:val="24"/>
        </w:rPr>
      </w:pPr>
    </w:p>
    <w:p w14:paraId="117E5B93" w14:textId="0CB7C147" w:rsidR="00FE766B" w:rsidRPr="00FE766B" w:rsidRDefault="00FE766B" w:rsidP="00FE766B">
      <w:pPr>
        <w:rPr>
          <w:rFonts w:ascii="Source Sans Pro" w:hAnsi="Source Sans Pro"/>
          <w:b/>
          <w:bCs/>
          <w:i/>
          <w:iCs/>
          <w:sz w:val="32"/>
          <w:szCs w:val="32"/>
        </w:rPr>
      </w:pPr>
      <w:r w:rsidRPr="00FE766B">
        <w:rPr>
          <w:rFonts w:ascii="Source Sans Pro" w:hAnsi="Source Sans Pro"/>
          <w:b/>
          <w:bCs/>
          <w:i/>
          <w:iCs/>
          <w:sz w:val="32"/>
          <w:szCs w:val="32"/>
        </w:rPr>
        <w:t>The French History of Wisconsin, 1634-1840</w:t>
      </w:r>
    </w:p>
    <w:p w14:paraId="71B6D49A" w14:textId="77777777" w:rsidR="00FE766B" w:rsidRPr="00FE766B" w:rsidRDefault="00FE766B" w:rsidP="00FE766B">
      <w:pPr>
        <w:rPr>
          <w:rFonts w:ascii="Source Sans Pro" w:hAnsi="Source Sans Pro"/>
          <w:sz w:val="22"/>
        </w:rPr>
      </w:pPr>
    </w:p>
    <w:p w14:paraId="20B330AC" w14:textId="571C3F57" w:rsidR="00FE766B" w:rsidRPr="005E7321" w:rsidRDefault="00FE766B" w:rsidP="00FE766B">
      <w:pPr>
        <w:rPr>
          <w:rFonts w:ascii="Source Sans Pro" w:hAnsi="Source Sans Pro"/>
          <w:sz w:val="28"/>
          <w:szCs w:val="28"/>
        </w:rPr>
      </w:pPr>
      <w:r w:rsidRPr="00FE766B">
        <w:rPr>
          <w:rFonts w:ascii="Source Sans Pro" w:hAnsi="Source Sans Pro"/>
          <w:sz w:val="28"/>
          <w:szCs w:val="28"/>
        </w:rPr>
        <w:t>For over two centuries, the French were the second largest group in Wisconsin after the American Indians. Upon their arrival, the French forged deep and intimate ties with the Indian communities of Wisconsin. The two groups heavily intermarried and in the process created a new people, the Métis, a biracial society that borrowed heavily from both American Indian and French cultures. While France ceded its North American empire to Britain in 1763, the French continued to have a strong presence in Wisconsin at fur trade centers such as Green Bay and Prairie du Chien until the advent of large-scale white settlement in the 1840s.</w:t>
      </w:r>
    </w:p>
    <w:sectPr w:rsidR="00FE766B" w:rsidRPr="005E7321" w:rsidSect="0022066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iryo">
    <w:altName w:val="Yu Gothic"/>
    <w:charset w:val="80"/>
    <w:family w:val="swiss"/>
    <w:pitch w:val="variable"/>
    <w:sig w:usb0="E00002FF" w:usb1="6AC7FFFF" w:usb2="08000012" w:usb3="00000000" w:csb0="0002009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0F8"/>
    <w:multiLevelType w:val="multilevel"/>
    <w:tmpl w:val="4E22F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F4133"/>
    <w:multiLevelType w:val="multilevel"/>
    <w:tmpl w:val="1BC24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156FA"/>
    <w:multiLevelType w:val="multilevel"/>
    <w:tmpl w:val="0EA41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C7F86"/>
    <w:multiLevelType w:val="multilevel"/>
    <w:tmpl w:val="25686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96225841">
    <w:abstractNumId w:val="0"/>
  </w:num>
  <w:num w:numId="2" w16cid:durableId="617100946">
    <w:abstractNumId w:val="1"/>
  </w:num>
  <w:num w:numId="3" w16cid:durableId="1091898091">
    <w:abstractNumId w:val="3"/>
  </w:num>
  <w:num w:numId="4" w16cid:durableId="557396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67"/>
    <w:rsid w:val="00013824"/>
    <w:rsid w:val="00036561"/>
    <w:rsid w:val="0006616E"/>
    <w:rsid w:val="00073FBB"/>
    <w:rsid w:val="00095B56"/>
    <w:rsid w:val="00125E1A"/>
    <w:rsid w:val="00185114"/>
    <w:rsid w:val="00220667"/>
    <w:rsid w:val="003A3771"/>
    <w:rsid w:val="00407B87"/>
    <w:rsid w:val="00455780"/>
    <w:rsid w:val="004569D0"/>
    <w:rsid w:val="0051306E"/>
    <w:rsid w:val="00557069"/>
    <w:rsid w:val="0056703E"/>
    <w:rsid w:val="005759B2"/>
    <w:rsid w:val="005A1F53"/>
    <w:rsid w:val="005C659D"/>
    <w:rsid w:val="005E7321"/>
    <w:rsid w:val="0063244F"/>
    <w:rsid w:val="006D539F"/>
    <w:rsid w:val="008F12F5"/>
    <w:rsid w:val="00AA1309"/>
    <w:rsid w:val="00B570D5"/>
    <w:rsid w:val="00BB1807"/>
    <w:rsid w:val="00BF18A5"/>
    <w:rsid w:val="00BF71FF"/>
    <w:rsid w:val="00C4384F"/>
    <w:rsid w:val="00CE5FF6"/>
    <w:rsid w:val="00D73E06"/>
    <w:rsid w:val="00E7243E"/>
    <w:rsid w:val="00EA0EBA"/>
    <w:rsid w:val="00F2195D"/>
    <w:rsid w:val="00F221FF"/>
    <w:rsid w:val="00F31532"/>
    <w:rsid w:val="00F57F17"/>
    <w:rsid w:val="00F60958"/>
    <w:rsid w:val="00F701CF"/>
    <w:rsid w:val="00F74E2F"/>
    <w:rsid w:val="00FA5C35"/>
    <w:rsid w:val="00FE7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464B"/>
  <w15:chartTrackingRefBased/>
  <w15:docId w15:val="{EB92CA0D-C0CB-473C-952A-18C43180E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532"/>
    <w:pPr>
      <w:ind w:left="720"/>
      <w:contextualSpacing/>
    </w:pPr>
  </w:style>
  <w:style w:type="character" w:styleId="Hyperlink">
    <w:name w:val="Hyperlink"/>
    <w:basedOn w:val="DefaultParagraphFont"/>
    <w:uiPriority w:val="99"/>
    <w:unhideWhenUsed/>
    <w:rsid w:val="00F2195D"/>
    <w:rPr>
      <w:color w:val="0563C1" w:themeColor="hyperlink"/>
      <w:u w:val="single"/>
    </w:rPr>
  </w:style>
  <w:style w:type="character" w:styleId="UnresolvedMention">
    <w:name w:val="Unresolved Mention"/>
    <w:basedOn w:val="DefaultParagraphFont"/>
    <w:uiPriority w:val="99"/>
    <w:semiHidden/>
    <w:unhideWhenUsed/>
    <w:rsid w:val="00F2195D"/>
    <w:rPr>
      <w:color w:val="605E5C"/>
      <w:shd w:val="clear" w:color="auto" w:fill="E1DFDD"/>
    </w:rPr>
  </w:style>
  <w:style w:type="character" w:styleId="FollowedHyperlink">
    <w:name w:val="FollowedHyperlink"/>
    <w:basedOn w:val="DefaultParagraphFont"/>
    <w:uiPriority w:val="99"/>
    <w:semiHidden/>
    <w:unhideWhenUsed/>
    <w:rsid w:val="00095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0C7A7-48FF-4C4E-96BB-DD40517CC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Patrick</dc:creator>
  <cp:keywords/>
  <dc:description/>
  <cp:lastModifiedBy>Jung, Patrick</cp:lastModifiedBy>
  <cp:revision>12</cp:revision>
  <dcterms:created xsi:type="dcterms:W3CDTF">2021-06-18T12:33:00Z</dcterms:created>
  <dcterms:modified xsi:type="dcterms:W3CDTF">2023-03-21T03:11:00Z</dcterms:modified>
</cp:coreProperties>
</file>