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color w:val="1f4e79"/>
          <w:sz w:val="54"/>
          <w:szCs w:val="54"/>
          <w:rtl w:val="0"/>
        </w:rPr>
        <w:t xml:space="preserve">HOW BRANDS GROW</w:t>
        <w:br w:type="textWrapping"/>
      </w:r>
      <w:r w:rsidDel="00000000" w:rsidR="00000000" w:rsidRPr="00000000">
        <w:rPr>
          <w:rFonts w:ascii="Times New Roman" w:cs="Times New Roman" w:eastAsia="Times New Roman" w:hAnsi="Times New Roman"/>
          <w:b w:val="1"/>
          <w:bCs w:val="1"/>
          <w:sz w:val="34"/>
          <w:szCs w:val="34"/>
          <w:rtl w:val="0"/>
        </w:rPr>
        <w:t xml:space="preserve">Byron Sharp</w:t>
      </w:r>
    </w:p>
    <w:p w:rsidR="00000000" w:rsidDel="00000000" w:rsidP="00000000" w:rsidRDefault="00000000" w:rsidRPr="00000000" w14:paraId="000000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wstępie Sharp ustawia całą książkę jako kontrę wobec „anything goes marketing”. Marketerzy często mówią, że nie istnieją prawa marketingu, bo konsumenci są indywidualni i nieprzewidywalni. Autor odpowiada, że badania pokazują coś przeciwnego: w zakupach, lojalności, penetracji i skuteczności działań marketingowych występują powtarzalne wzorce. Tak jak architekt nie może ignorować grawitacji, tak marketer nie powinien ignorować empirycznych praw zachowań kupujących.</w:t>
      </w:r>
    </w:p>
    <w:p w:rsidR="00000000" w:rsidDel="00000000" w:rsidP="00000000" w:rsidRDefault="00000000" w:rsidRPr="00000000" w14:paraId="00000003">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Najważniejsza zmiana perspektywy dotyczy przejścia od starego świata marketingu do nowego. Stary świat koncentruje się na pozycjonowaniu, różnicowaniu, perswazji, zrozumieniu komunikatu i kampaniach w krótkich zrywach. Nowy świat kładzie nacisk na wyrazistość / łatwość przywołania marki, aktywa wyróżniające marki, zauważenie, emocjonalną reakcję, odświeżanie struktur pamięci, szeroki zasięg i ciągłą obecność. Sharp nie neguje kreatywności, ale przenosi ją z poziomu „wymyślmy coś wyjątkowego” na poziom „zbudujmy coś, co będzie konsekwentnie zauważane i zapamiętywane”.</w:t>
      </w:r>
    </w:p>
    <w:p w:rsidR="00000000" w:rsidDel="00000000" w:rsidP="00000000" w:rsidRDefault="00000000" w:rsidRPr="00000000" w14:paraId="00000004">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Autor zapowiada trzy główne idee książki. Po pierwsze, wzrost udziału w rynku bierze się z popularności, czyli z pozyskania wielu kupujących – najczęściej lekkich, okazjonalnych. Po drugie, marki w wielu kategoriach konkurują jak bardzo podobne opcje wyboru, a nie jak ostro odseparowane byty z własnymi lojalnymi plemionami. Po trzecie, konkurencja marek polega głównie na budowaniu dwóch aktywów rynkowych: dostępności mentalnej i dostępności fizycznej.</w:t>
      </w:r>
    </w:p>
    <w:p w:rsidR="00000000" w:rsidDel="00000000" w:rsidP="00000000" w:rsidRDefault="00000000" w:rsidRPr="00000000" w14:paraId="00000005">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Wstęp jest więc mapą całej książki: większość tradycyjnych przekonań zostanie zakwestionowana. Sharp nie mówi, że strategia, kreatywność, innowacje i marka są nieważne. Mówi, że ich sens należy oceniać przez pytanie: czy zwiększają prawdopodobieństwo, że większa liczba ludzi pomyśli o marce i będzie mogła ją łatwo kupić?</w:t>
      </w:r>
    </w:p>
    <w:p w:rsidR="00000000" w:rsidDel="00000000" w:rsidP="00000000" w:rsidRDefault="00000000" w:rsidRPr="00000000" w14:paraId="00000006">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Ważne pojęcia i definicje</w:t>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07">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Dostępność mentalna</w:t>
            </w:r>
            <w:r w:rsidDel="00000000" w:rsidR="00000000" w:rsidRPr="00000000">
              <w:rPr>
                <w:rtl w:val="0"/>
              </w:rPr>
            </w:r>
          </w:p>
          <w:p w:rsidR="00000000" w:rsidDel="00000000" w:rsidP="00000000" w:rsidRDefault="00000000" w:rsidRPr="00000000" w14:paraId="0000000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Prawdopodobieństwo, że marka przyjdzie klientowi do głowy w sytuacji zakupowej.</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09">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Dostępność fizyczna</w:t>
            </w:r>
            <w:r w:rsidDel="00000000" w:rsidR="00000000" w:rsidRPr="00000000">
              <w:rPr>
                <w:rtl w:val="0"/>
              </w:rPr>
            </w:r>
          </w:p>
          <w:p w:rsidR="00000000" w:rsidDel="00000000" w:rsidP="00000000" w:rsidRDefault="00000000" w:rsidRPr="00000000" w14:paraId="0000000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Łatwość znalezienia i kupienia marki w różnych kanałach, miejscach i momentach zakupu.</w:t>
            </w:r>
          </w:p>
        </w:tc>
      </w:tr>
    </w:tbl>
    <w:p w:rsidR="00000000" w:rsidDel="00000000" w:rsidP="00000000" w:rsidRDefault="00000000" w:rsidRPr="00000000" w14:paraId="0000000B">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Mit vs rzeczywistość</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9" w:val="clear"/>
          </w:tcPr>
          <w:p w:rsidR="00000000" w:rsidDel="00000000" w:rsidP="00000000" w:rsidRDefault="00000000" w:rsidRPr="00000000" w14:paraId="0000000C">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Mit / stare założenie</w:t>
            </w:r>
            <w:r w:rsidDel="00000000" w:rsidR="00000000" w:rsidRPr="00000000">
              <w:rPr>
                <w:rtl w:val="0"/>
              </w:rPr>
            </w:r>
          </w:p>
        </w:tc>
        <w:tc>
          <w:tcPr>
            <w:shd w:fill="1f4e79" w:val="clear"/>
          </w:tcPr>
          <w:p w:rsidR="00000000" w:rsidDel="00000000" w:rsidP="00000000" w:rsidRDefault="00000000" w:rsidRPr="00000000" w14:paraId="0000000D">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Rzeczywistość według Sharpa</w:t>
            </w:r>
            <w:r w:rsidDel="00000000" w:rsidR="00000000" w:rsidRPr="00000000">
              <w:rPr>
                <w:rtl w:val="0"/>
              </w:rPr>
            </w:r>
          </w:p>
        </w:tc>
        <w:tc>
          <w:tcPr>
            <w:shd w:fill="1f4e79" w:val="clear"/>
          </w:tcPr>
          <w:p w:rsidR="00000000" w:rsidDel="00000000" w:rsidP="00000000" w:rsidRDefault="00000000" w:rsidRPr="00000000" w14:paraId="0000000E">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Konsekwencja dla marketera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Marketing to pełna dowolność i kreatywność</w:t>
            </w:r>
            <w:r w:rsidDel="00000000" w:rsidR="00000000" w:rsidRPr="00000000">
              <w:rPr>
                <w:rtl w:val="0"/>
              </w:rPr>
            </w:r>
          </w:p>
        </w:tc>
        <w:tc>
          <w:tcPr>
            <w:vAlign w:val="top"/>
          </w:tcPr>
          <w:p w:rsidR="00000000" w:rsidDel="00000000" w:rsidP="00000000" w:rsidRDefault="00000000" w:rsidRPr="00000000" w14:paraId="00000010">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Marketing ma własne powtarzalne prawa</w:t>
            </w:r>
            <w:r w:rsidDel="00000000" w:rsidR="00000000" w:rsidRPr="00000000">
              <w:rPr>
                <w:rtl w:val="0"/>
              </w:rPr>
            </w:r>
          </w:p>
        </w:tc>
        <w:tc>
          <w:tcPr>
            <w:vAlign w:val="top"/>
          </w:tcPr>
          <w:p w:rsidR="00000000" w:rsidDel="00000000" w:rsidP="00000000" w:rsidRDefault="00000000" w:rsidRPr="00000000" w14:paraId="00000011">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Kreatywność powinna działać w ramach empirycznej wiedzy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Najważniejsze jest pozycjonowanie</w:t>
            </w:r>
            <w:r w:rsidDel="00000000" w:rsidR="00000000" w:rsidRPr="00000000">
              <w:rPr>
                <w:rtl w:val="0"/>
              </w:rPr>
            </w:r>
          </w:p>
        </w:tc>
        <w:tc>
          <w:tcPr>
            <w:vAlign w:val="top"/>
          </w:tcPr>
          <w:p w:rsidR="00000000" w:rsidDel="00000000" w:rsidP="00000000" w:rsidRDefault="00000000" w:rsidRPr="00000000" w14:paraId="00000013">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Ważniejsze jest bycie zauważonym i zapamiętanym</w:t>
            </w:r>
            <w:r w:rsidDel="00000000" w:rsidR="00000000" w:rsidRPr="00000000">
              <w:rPr>
                <w:rtl w:val="0"/>
              </w:rPr>
            </w:r>
          </w:p>
        </w:tc>
        <w:tc>
          <w:tcPr>
            <w:vAlign w:val="top"/>
          </w:tcPr>
          <w:p w:rsidR="00000000" w:rsidDel="00000000" w:rsidP="00000000" w:rsidRDefault="00000000" w:rsidRPr="00000000" w14:paraId="00000014">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Komunikacja ma budować pamięć marki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Masowy marketing jest martwy</w:t>
            </w:r>
            <w:r w:rsidDel="00000000" w:rsidR="00000000" w:rsidRPr="00000000">
              <w:rPr>
                <w:rtl w:val="0"/>
              </w:rPr>
            </w:r>
          </w:p>
        </w:tc>
        <w:tc>
          <w:tcPr>
            <w:vAlign w:val="top"/>
          </w:tcPr>
          <w:p w:rsidR="00000000" w:rsidDel="00000000" w:rsidP="00000000" w:rsidRDefault="00000000" w:rsidRPr="00000000" w14:paraId="00000016">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Potrzebny jest zaawansowany marketing masowy</w:t>
            </w:r>
            <w:r w:rsidDel="00000000" w:rsidR="00000000" w:rsidRPr="00000000">
              <w:rPr>
                <w:rtl w:val="0"/>
              </w:rPr>
            </w:r>
          </w:p>
        </w:tc>
        <w:tc>
          <w:tcPr>
            <w:vAlign w:val="top"/>
          </w:tcPr>
          <w:p w:rsidR="00000000" w:rsidDel="00000000" w:rsidP="00000000" w:rsidRDefault="00000000" w:rsidRPr="00000000" w14:paraId="00000017">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Trzeba docierać do wielu lekkich kupujących</w:t>
            </w:r>
            <w:r w:rsidDel="00000000" w:rsidR="00000000" w:rsidRPr="00000000">
              <w:rPr>
                <w:rtl w:val="0"/>
              </w:rPr>
            </w:r>
          </w:p>
        </w:tc>
      </w:tr>
    </w:tbl>
    <w:p w:rsidR="00000000" w:rsidDel="00000000" w:rsidP="00000000" w:rsidRDefault="00000000" w:rsidRPr="00000000" w14:paraId="00000018">
      <w:pPr>
        <w:pStyle w:val="Heading2"/>
        <w:rPr>
          <w:rFonts w:ascii="Times New Roman" w:cs="Times New Roman" w:eastAsia="Times New Roman" w:hAnsi="Times New Roman"/>
          <w:sz w:val="26"/>
          <w:szCs w:val="26"/>
        </w:rPr>
      </w:pPr>
      <w:bookmarkStart w:colFirst="0" w:colLast="0" w:name="_heading=h.rycr0yrd4krv" w:id="0"/>
      <w:bookmarkEnd w:id="0"/>
      <w:r w:rsidDel="00000000" w:rsidR="00000000" w:rsidRPr="00000000">
        <w:rPr>
          <w:rFonts w:ascii="Times New Roman" w:cs="Times New Roman" w:eastAsia="Times New Roman" w:hAnsi="Times New Roman"/>
          <w:sz w:val="26"/>
          <w:szCs w:val="26"/>
          <w:rtl w:val="0"/>
        </w:rPr>
        <w:t xml:space="preserve">Do zapamiętania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jc w:val="left"/>
        <w:rPr>
          <w:rFonts w:ascii="Times New Roman" w:cs="Times New Roman" w:eastAsia="Times New Roman" w:hAnsi="Times New Roman"/>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Wstęp zawiera „mapę” całej książki – wiele szczegółów zostanie wyjaśnionych w kolejnych rozdziałach.</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Sharp używa pojęcia praw marketingowych podobnie jak nauki przyrodnicze używają praw ogólnych: nie jako stuprocentowych gwarancji, ale jako mocnych, przewidywalnych wzorców.</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Warto od początku rozróżnić: różnicowanie (różnicowanie) to nie to samo co wyróżnialność/charakterystyczność (wyróżnialność).</w:t>
      </w:r>
    </w:p>
    <w:p w:rsidR="00000000" w:rsidDel="00000000" w:rsidP="00000000" w:rsidRDefault="00000000" w:rsidRPr="00000000" w14:paraId="0000001C">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Zastosowanie praktyczne – e-commerce / Haxe</w:t>
      </w:r>
    </w:p>
    <w:p w:rsidR="00000000" w:rsidDel="00000000" w:rsidP="00000000" w:rsidRDefault="00000000" w:rsidRPr="00000000" w14:paraId="0000001D">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Dla e-commerce oznacza to, że kampanie, grafiki Google Ads, treści SEO i marketplace’y powinny być oceniane nie tylko pod kątem estetyki lub „unikalności”, ale pod kątem: czy poszerzają zasięg, wzmacniają rozpoznawalność i ułatwiają zakup. W przypadku Haxe sensowna strategia to konsekwentne budowanie aktywów marki – nazwy, kolorów, stylu, benefitów kategorii – oraz szeroka obecność tam, gdzie klienci kupują urządzenia beauty, health i home care.</w:t>
      </w:r>
    </w:p>
    <w:p w:rsidR="00000000" w:rsidDel="00000000" w:rsidP="00000000" w:rsidRDefault="00000000" w:rsidRPr="00000000" w14:paraId="0000001E">
      <w:pPr>
        <w:pStyle w:val="Heading1"/>
        <w:spacing w:after="120" w:line="269" w:lineRule="auto"/>
        <w:jc w:val="both"/>
        <w:rPr>
          <w:rFonts w:ascii="Times New Roman" w:cs="Times New Roman" w:eastAsia="Times New Roman" w:hAnsi="Times New Roman"/>
          <w:sz w:val="34"/>
          <w:szCs w:val="34"/>
        </w:rPr>
      </w:pPr>
      <w:bookmarkStart w:colFirst="0" w:colLast="0" w:name="_heading=h.qhix5h6cgiyy" w:id="1"/>
      <w:bookmarkEnd w:id="1"/>
      <w:r w:rsidDel="00000000" w:rsidR="00000000" w:rsidRPr="00000000">
        <w:rPr>
          <w:rFonts w:ascii="Times New Roman" w:cs="Times New Roman" w:eastAsia="Times New Roman" w:hAnsi="Times New Roman"/>
          <w:sz w:val="34"/>
          <w:szCs w:val="34"/>
          <w:rtl w:val="0"/>
        </w:rPr>
        <w:t xml:space="preserve">Case Colgate i Crest. </w:t>
      </w:r>
    </w:p>
    <w:p w:rsidR="00000000" w:rsidDel="00000000" w:rsidP="00000000" w:rsidRDefault="00000000" w:rsidRPr="00000000" w14:paraId="0000001F">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Dane pokazują, że Crest ma dwukrotnie większy udział w rynku pasty do zębów w USA, a jego baza wygląda bardziej „lojalnie”. Typowa interpretacja działu badań byłaby taka: Colgate ma problem z lojalnością, przyciąga złych klientów, powinien mocniej komunikować jakość, porównywać się z Crest i szukać profilu lojalnych nabywców. Sharp pokazuje, że taka interpretacja jest błędna. Metryki Colgate są normalne dla marki, która jest mniejsza od Crest. Nie wyjaśniają przyczyny mniejszego udziału; są skutkiem wielkości marki.</w:t>
      </w:r>
    </w:p>
    <w:p w:rsidR="00000000" w:rsidDel="00000000" w:rsidP="00000000" w:rsidRDefault="00000000" w:rsidRPr="00000000" w14:paraId="00000020">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Autor pokazuje mechanizm mylenia objawów z przyczynami. Jeśli większa marka ma więcej lojalnych deklaracji i lepsze wskaźniki postaw, nie musi to oznaczać, że ma „silniejszą duszę marki”. Może po prostu mieć więcej użytkowników, a użytkownicy naturalnie wiedzą i mówią więcej o markach, których używają. Błędem jest wyciąganie strategii z metryk bez znajomości praw zachowań kupujących.</w:t>
      </w:r>
    </w:p>
    <w:p w:rsidR="00000000" w:rsidDel="00000000" w:rsidP="00000000" w:rsidRDefault="00000000" w:rsidRPr="00000000" w14:paraId="00000021">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Sharp porównuje marketing do dawnej medycyny. Lekarze przez stulecia stosowali upuszczanie krwi, bo wierzyli w teorie i autorytety, a nie w systematyczne badania efektów. Podobnie marketerzy często stosują działania, które dają poczucie kontroli – promocje, bursty reklamowe, modne media – ale nie sprawdzają, czy naprawdę tworzą trwały wzrost. To porównanie jest centralne: marketing ma przejść od praktyki opartej na przekonaniach do praktyki opartej na empirycznych generalizacjach.</w:t>
      </w:r>
    </w:p>
    <w:p w:rsidR="00000000" w:rsidDel="00000000" w:rsidP="00000000" w:rsidRDefault="00000000" w:rsidRPr="00000000" w14:paraId="00000022">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Rozdział krytykuje podręczniki marketingowe. Według Sharpa często zawierają normatywne zalecenia, ale mało dowodów empirycznych. Podręczniki mówią, czym się martwić – lojalnością, satysfakcją, kapitałem marki, segmentacją – ale rzadko odpowiadają na bardzo praktyczne pytania: co stanie się ze sprzedażą po zmianie ceny, kiedy działa krótki spot, jak interpretować promocje, czy nowa marka skanibalizuje starą. Dobre notatki z tego rozdziału powinny więc zawierać nie tylko hasło „evidence-based”, ale też krytykę fałszywej pewności marketingu.</w:t>
      </w:r>
    </w:p>
    <w:p w:rsidR="00000000" w:rsidDel="00000000" w:rsidP="00000000" w:rsidRDefault="00000000" w:rsidRPr="00000000" w14:paraId="00000023">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 końcu Sharp wskazuje, że badania Ehrenberg-Bass różnią się od typowych badań komercyjnych: nie szukają jednorazowych insightów dla jednej marki, lecz powtarzalnych wzorców działających przez lata, kategorie i kraje. To właśnie te prawa mają zmienić sposób, w jaki marketer patrzy na rynek.</w:t>
      </w:r>
    </w:p>
    <w:p w:rsidR="00000000" w:rsidDel="00000000" w:rsidP="00000000" w:rsidRDefault="00000000" w:rsidRPr="00000000" w14:paraId="00000024">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Ważne pojęcia i definicje</w:t>
      </w:r>
    </w:p>
    <w:tbl>
      <w:tblPr>
        <w:tblStyle w:val="Table3"/>
        <w:tblW w:w="10080.0" w:type="dxa"/>
        <w:jc w:val="center"/>
        <w:tblLayout w:type="fixed"/>
        <w:tblLook w:val="0400"/>
      </w:tblPr>
      <w:tblGrid>
        <w:gridCol w:w="10080"/>
        <w:tblGridChange w:id="0">
          <w:tblGrid>
            <w:gridCol w:w="10080"/>
          </w:tblGrid>
        </w:tblGridChange>
      </w:tblGrid>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25">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Metryka jako skutek wielkości</w:t>
            </w:r>
            <w:r w:rsidDel="00000000" w:rsidR="00000000" w:rsidRPr="00000000">
              <w:rPr>
                <w:rtl w:val="0"/>
              </w:rPr>
            </w:r>
          </w:p>
          <w:p w:rsidR="00000000" w:rsidDel="00000000" w:rsidP="00000000" w:rsidRDefault="00000000" w:rsidRPr="00000000" w14:paraId="0000002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Wskaźniki lojalności i postaw często odzwierciedlają rozmiar marki, a nie jej wyjątkową „siłę”.</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27">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Empiryczna generalizacja</w:t>
            </w:r>
            <w:r w:rsidDel="00000000" w:rsidR="00000000" w:rsidRPr="00000000">
              <w:rPr>
                <w:rtl w:val="0"/>
              </w:rPr>
            </w:r>
          </w:p>
          <w:p w:rsidR="00000000" w:rsidDel="00000000" w:rsidP="00000000" w:rsidRDefault="00000000" w:rsidRPr="00000000" w14:paraId="0000002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Powtarzalny wzorzec zaobserwowany w wielu warunkach, który może służyć do przewidywania i oceny strategii.</w:t>
            </w:r>
          </w:p>
        </w:tc>
      </w:tr>
    </w:tbl>
    <w:p w:rsidR="00000000" w:rsidDel="00000000" w:rsidP="00000000" w:rsidRDefault="00000000" w:rsidRPr="00000000" w14:paraId="00000029">
      <w:pPr>
        <w:pStyle w:val="Heading2"/>
        <w:rPr>
          <w:rFonts w:ascii="Times New Roman" w:cs="Times New Roman" w:eastAsia="Times New Roman" w:hAnsi="Times New Roman"/>
          <w:sz w:val="26"/>
          <w:szCs w:val="26"/>
        </w:rPr>
      </w:pPr>
      <w:bookmarkStart w:colFirst="0" w:colLast="0" w:name="_heading=h.a4j3fqj7wmpu" w:id="2"/>
      <w:bookmarkEnd w:id="2"/>
      <w:r w:rsidDel="00000000" w:rsidR="00000000" w:rsidRPr="00000000">
        <w:rPr>
          <w:rFonts w:ascii="Times New Roman" w:cs="Times New Roman" w:eastAsia="Times New Roman" w:hAnsi="Times New Roman"/>
          <w:sz w:val="26"/>
          <w:szCs w:val="26"/>
          <w:rtl w:val="0"/>
        </w:rPr>
        <w:t xml:space="preserve">Do zapamiętania</w:t>
      </w:r>
    </w:p>
    <w:p w:rsidR="00000000" w:rsidDel="00000000" w:rsidP="00000000" w:rsidRDefault="00000000" w:rsidRPr="00000000" w14:paraId="0000002A">
      <w:pPr>
        <w:pStyle w:val="Heading2"/>
        <w:numPr>
          <w:ilvl w:val="0"/>
          <w:numId w:val="1"/>
        </w:numPr>
        <w:ind w:left="360"/>
        <w:rPr>
          <w:rFonts w:ascii="Times New Roman" w:cs="Times New Roman" w:eastAsia="Times New Roman" w:hAnsi="Times New Roman"/>
          <w:b w:val="0"/>
          <w:bCs w:val="0"/>
          <w:i w:val="0"/>
          <w:iCs w:val="0"/>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Case Colgate/Crest pokazuje typowy błąd: mylenie skutku wielkości z przyczyną wzrostu.</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Upuszczanie krwi to metafora działań marketingowych, które są popularne, bo „coś robią”, ale niekoniecznie działają.</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Najważniejsze pytanie rozdziału: czy mamy dowód, czy tylko przekonującą historię?</w:t>
      </w:r>
    </w:p>
    <w:p w:rsidR="00000000" w:rsidDel="00000000" w:rsidP="00000000" w:rsidRDefault="00000000" w:rsidRPr="00000000" w14:paraId="0000002D">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Zastosowanie praktyczne – e-commerce / Haxe</w:t>
      </w:r>
    </w:p>
    <w:p w:rsidR="00000000" w:rsidDel="00000000" w:rsidP="00000000" w:rsidRDefault="00000000" w:rsidRPr="00000000" w14:paraId="0000002E">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Dla Haxe oznacza to ostrożność przy interpretacji ankiet i wyników kampanii. Jeśli konkurent ma większą rozpoznawalność, więcej opinii i lepsze deklaracje, może to wynikać z większej liczby użytkowników, a nie z lepszej marki. Wnioski do działań powinny być oparte na wzroście zasięgu, dostępności i pamięci marki, a nie tylko na „poprawianiu percepcji” wśród obecnych klientów.</w:t>
      </w:r>
    </w:p>
    <w:p w:rsidR="00000000" w:rsidDel="00000000" w:rsidP="00000000" w:rsidRDefault="00000000" w:rsidRPr="00000000" w14:paraId="0000002F">
      <w:pPr>
        <w:pStyle w:val="Heading1"/>
        <w:rPr>
          <w:rFonts w:ascii="Times New Roman" w:cs="Times New Roman" w:eastAsia="Times New Roman" w:hAnsi="Times New Roman"/>
          <w:sz w:val="34"/>
          <w:szCs w:val="34"/>
        </w:rPr>
      </w:pPr>
      <w:bookmarkStart w:colFirst="0" w:colLast="0" w:name="_heading=h.bll36c62kg28" w:id="3"/>
      <w:bookmarkEnd w:id="3"/>
      <w:r w:rsidDel="00000000" w:rsidR="00000000" w:rsidRPr="00000000">
        <w:rPr>
          <w:rFonts w:ascii="Times New Roman" w:cs="Times New Roman" w:eastAsia="Times New Roman" w:hAnsi="Times New Roman"/>
          <w:sz w:val="34"/>
          <w:szCs w:val="34"/>
          <w:rtl w:val="0"/>
        </w:rPr>
        <w:t xml:space="preserve">Jak rosną marki?</w:t>
      </w:r>
    </w:p>
    <w:p w:rsidR="00000000" w:rsidDel="00000000" w:rsidP="00000000" w:rsidRDefault="00000000" w:rsidRPr="00000000" w14:paraId="00000030">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Sharp zaczyna od odrzucenia mitu „sekretnego klucza do wzrostu”. Agencje badawcze, konsultanci i modele ekonomiczne obiecują przewidywanie wzrostu, ale nikt nie może go zagwarantować. Można jednak znać prawa, które pokazują, jak wygląda wzrost, gdy naprawdę następuje. Najważniejsze odkrycie rozdziału jest proste: duże marki mają dużo większe bazy kupujących.</w:t>
      </w:r>
    </w:p>
    <w:p w:rsidR="00000000" w:rsidDel="00000000" w:rsidP="00000000" w:rsidRDefault="00000000" w:rsidRPr="00000000" w14:paraId="00000031">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Sprzedaż marki można rozłożyć na dwie składowe: ilu ludzi kupuje markę oraz jak często ją kupują. Teoretycznie marka mogłaby być duża dzięki małej grupie fanatycznie lojalnych klientów. W praktyce tak się nie dzieje. Marki o podobnym udziale mają podobną penetrację i podobną średnią częstotliwość zakupów, a marki większe różnią się od mniejszych głównie liczbą kupujących, nie radykalnie większą lojalnością.</w:t>
      </w:r>
    </w:p>
    <w:p w:rsidR="00000000" w:rsidDel="00000000" w:rsidP="00000000" w:rsidRDefault="00000000" w:rsidRPr="00000000" w14:paraId="00000032">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Kluczowym prawem rozdziału jest prawo podwójnego ryzyka (Double Jeopardy). Małe marki są „karane podwójnie”: mają mniej kupujących, a ci kupują je nieco rzadziej. Słowo „nieco” jest ważne. W przykładach proszków do prania i szamponów różnice w penetracji są ogromne, a różnice w częstotliwości zakupu niewielkie. Head &amp; Shoulders miał kilka razy więcej kupujących niż małe marki, ale częstotliwość zakupu była tylko trochę wyższa.</w:t>
      </w:r>
    </w:p>
    <w:p w:rsidR="00000000" w:rsidDel="00000000" w:rsidP="00000000" w:rsidRDefault="00000000" w:rsidRPr="00000000" w14:paraId="00000033">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prawo daje praktyczny przewodnik do celów wzrostu. Jeśli mała marka planuje zostać liderem przez zmuszenie obecnych kupujących do radykalnie częstszych zakupów, jest to fantazja. Realny wzrost będzie wyglądał tak: dużo więcej gospodarstw domowych kupi markę przynajmniej raz, a średnia częstotliwość wzrośnie tylko lekko. Marketer powinien więc mierzyć i planować przede wszystkim penetrację.</w:t>
      </w:r>
    </w:p>
    <w:p w:rsidR="00000000" w:rsidDel="00000000" w:rsidP="00000000" w:rsidRDefault="00000000" w:rsidRPr="00000000" w14:paraId="00000034">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Sharp omawia też ograniczenia strategii „nowych zastosowań” i sprzedaży krzyżowej. Reklama rzadko skutecznie uczy ludzi nowych, nieoczywistych zastosowań produktu, bo trudno zmienić nawyki i zbudować nowe struktury pamięci. Cross-selling również nie jest łatwą drogą do wielkiego wzrostu, ponieważ jego metryki zachowują się jak inne miary lojalności i również mało różnią się między markami.</w:t>
      </w:r>
    </w:p>
    <w:p w:rsidR="00000000" w:rsidDel="00000000" w:rsidP="00000000" w:rsidRDefault="00000000" w:rsidRPr="00000000" w14:paraId="00000035">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Ważne pojęcia i definicje</w:t>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36">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Penetracja</w:t>
            </w:r>
            <w:r w:rsidDel="00000000" w:rsidR="00000000" w:rsidRPr="00000000">
              <w:rPr>
                <w:rtl w:val="0"/>
              </w:rPr>
            </w:r>
          </w:p>
          <w:p w:rsidR="00000000" w:rsidDel="00000000" w:rsidP="00000000" w:rsidRDefault="00000000" w:rsidRPr="00000000" w14:paraId="0000003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Odsetek lub liczba osób, które kupiły markę w danym okresie.</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38">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prawo podwójnego ryzyka (Double Jeopardy)</w:t>
            </w:r>
            <w:r w:rsidDel="00000000" w:rsidR="00000000" w:rsidRPr="00000000">
              <w:rPr>
                <w:rtl w:val="0"/>
              </w:rPr>
            </w:r>
          </w:p>
          <w:p w:rsidR="00000000" w:rsidDel="00000000" w:rsidP="00000000" w:rsidRDefault="00000000" w:rsidRPr="00000000" w14:paraId="0000003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Prawo mówiące, że mniejsze marki mają mniej kupujących i nieco niższą lojalność.</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3A">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Częstotliwość zakupu</w:t>
            </w:r>
            <w:r w:rsidDel="00000000" w:rsidR="00000000" w:rsidRPr="00000000">
              <w:rPr>
                <w:rtl w:val="0"/>
              </w:rPr>
            </w:r>
          </w:p>
          <w:p w:rsidR="00000000" w:rsidDel="00000000" w:rsidP="00000000" w:rsidRDefault="00000000" w:rsidRPr="00000000" w14:paraId="0000003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Średnia liczba zakupów marki wśród jej kupujących w danym okresie.</w:t>
            </w:r>
          </w:p>
        </w:tc>
      </w:tr>
    </w:tbl>
    <w:p w:rsidR="00000000" w:rsidDel="00000000" w:rsidP="00000000" w:rsidRDefault="00000000" w:rsidRPr="00000000" w14:paraId="0000003C">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Mit vs rzeczywistość</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9" w:val="clear"/>
          </w:tcPr>
          <w:p w:rsidR="00000000" w:rsidDel="00000000" w:rsidP="00000000" w:rsidRDefault="00000000" w:rsidRPr="00000000" w14:paraId="0000003D">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Mit / stare założenie</w:t>
            </w:r>
            <w:r w:rsidDel="00000000" w:rsidR="00000000" w:rsidRPr="00000000">
              <w:rPr>
                <w:rtl w:val="0"/>
              </w:rPr>
            </w:r>
          </w:p>
        </w:tc>
        <w:tc>
          <w:tcPr>
            <w:shd w:fill="1f4e79" w:val="clear"/>
          </w:tcPr>
          <w:p w:rsidR="00000000" w:rsidDel="00000000" w:rsidP="00000000" w:rsidRDefault="00000000" w:rsidRPr="00000000" w14:paraId="0000003E">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Rzeczywistość według Sharpa</w:t>
            </w:r>
            <w:r w:rsidDel="00000000" w:rsidR="00000000" w:rsidRPr="00000000">
              <w:rPr>
                <w:rtl w:val="0"/>
              </w:rPr>
            </w:r>
          </w:p>
        </w:tc>
        <w:tc>
          <w:tcPr>
            <w:shd w:fill="1f4e79" w:val="clear"/>
          </w:tcPr>
          <w:p w:rsidR="00000000" w:rsidDel="00000000" w:rsidP="00000000" w:rsidRDefault="00000000" w:rsidRPr="00000000" w14:paraId="0000003F">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Konsekwencja dla marketera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Wzrost bierze się z lojalności obecnych klientów</w:t>
            </w:r>
            <w:r w:rsidDel="00000000" w:rsidR="00000000" w:rsidRPr="00000000">
              <w:rPr>
                <w:rtl w:val="0"/>
              </w:rPr>
            </w:r>
          </w:p>
        </w:tc>
        <w:tc>
          <w:tcPr>
            <w:vAlign w:val="top"/>
          </w:tcPr>
          <w:p w:rsidR="00000000" w:rsidDel="00000000" w:rsidP="00000000" w:rsidRDefault="00000000" w:rsidRPr="00000000" w14:paraId="00000041">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Wzrost bierze się głównie z większej liczby kupujących</w:t>
            </w:r>
            <w:r w:rsidDel="00000000" w:rsidR="00000000" w:rsidRPr="00000000">
              <w:rPr>
                <w:rtl w:val="0"/>
              </w:rPr>
            </w:r>
          </w:p>
        </w:tc>
        <w:tc>
          <w:tcPr>
            <w:vAlign w:val="top"/>
          </w:tcPr>
          <w:p w:rsidR="00000000" w:rsidDel="00000000" w:rsidP="00000000" w:rsidRDefault="00000000" w:rsidRPr="00000000" w14:paraId="00000042">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Planuj zasięg i penetrację</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Mała marka może rosnąć dzięki superfanom</w:t>
            </w:r>
            <w:r w:rsidDel="00000000" w:rsidR="00000000" w:rsidRPr="00000000">
              <w:rPr>
                <w:rtl w:val="0"/>
              </w:rPr>
            </w:r>
          </w:p>
        </w:tc>
        <w:tc>
          <w:tcPr>
            <w:vAlign w:val="top"/>
          </w:tcPr>
          <w:p w:rsidR="00000000" w:rsidDel="00000000" w:rsidP="00000000" w:rsidRDefault="00000000" w:rsidRPr="00000000" w14:paraId="00000044">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Mała marka ma zwykle mniej kupujących i trochę niższą lojalność</w:t>
            </w:r>
            <w:r w:rsidDel="00000000" w:rsidR="00000000" w:rsidRPr="00000000">
              <w:rPr>
                <w:rtl w:val="0"/>
              </w:rPr>
            </w:r>
          </w:p>
        </w:tc>
        <w:tc>
          <w:tcPr>
            <w:vAlign w:val="top"/>
          </w:tcPr>
          <w:p w:rsidR="00000000" w:rsidDel="00000000" w:rsidP="00000000" w:rsidRDefault="00000000" w:rsidRPr="00000000" w14:paraId="00000045">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Nie zakładaj niszowej lojalności bez danych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Cross-selling to łatwa droga do wzrostu</w:t>
            </w:r>
            <w:r w:rsidDel="00000000" w:rsidR="00000000" w:rsidRPr="00000000">
              <w:rPr>
                <w:rtl w:val="0"/>
              </w:rPr>
            </w:r>
          </w:p>
        </w:tc>
        <w:tc>
          <w:tcPr>
            <w:vAlign w:val="top"/>
          </w:tcPr>
          <w:p w:rsidR="00000000" w:rsidDel="00000000" w:rsidP="00000000" w:rsidRDefault="00000000" w:rsidRPr="00000000" w14:paraId="00000047">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Metryki sprzedaży krzyżowej zwykle mało różnią się między markami</w:t>
            </w:r>
            <w:r w:rsidDel="00000000" w:rsidR="00000000" w:rsidRPr="00000000">
              <w:rPr>
                <w:rtl w:val="0"/>
              </w:rPr>
            </w:r>
          </w:p>
        </w:tc>
        <w:tc>
          <w:tcPr>
            <w:vAlign w:val="top"/>
          </w:tcPr>
          <w:p w:rsidR="00000000" w:rsidDel="00000000" w:rsidP="00000000" w:rsidRDefault="00000000" w:rsidRPr="00000000" w14:paraId="00000048">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Traktuj sprzedaż krzyżowa jako dodatek, nie główny silnik wzrostu</w:t>
            </w:r>
            <w:r w:rsidDel="00000000" w:rsidR="00000000" w:rsidRPr="00000000">
              <w:rPr>
                <w:rtl w:val="0"/>
              </w:rPr>
            </w:r>
          </w:p>
        </w:tc>
      </w:tr>
    </w:tbl>
    <w:p w:rsidR="00000000" w:rsidDel="00000000" w:rsidP="00000000" w:rsidRDefault="00000000" w:rsidRPr="00000000" w14:paraId="00000049">
      <w:pPr>
        <w:pStyle w:val="Heading2"/>
        <w:rPr>
          <w:rFonts w:ascii="Times New Roman" w:cs="Times New Roman" w:eastAsia="Times New Roman" w:hAnsi="Times New Roman"/>
          <w:sz w:val="26"/>
          <w:szCs w:val="26"/>
        </w:rPr>
      </w:pPr>
      <w:bookmarkStart w:colFirst="0" w:colLast="0" w:name="_heading=h.ck8vekud1hdg" w:id="4"/>
      <w:bookmarkEnd w:id="4"/>
      <w:r w:rsidDel="00000000" w:rsidR="00000000" w:rsidRPr="00000000">
        <w:rPr>
          <w:rFonts w:ascii="Times New Roman" w:cs="Times New Roman" w:eastAsia="Times New Roman" w:hAnsi="Times New Roman"/>
          <w:sz w:val="26"/>
          <w:szCs w:val="26"/>
          <w:rtl w:val="0"/>
        </w:rPr>
        <w:t xml:space="preserve">Do zapamiętania</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Sprzedaż = liczba kupujących × częstotliwość zakupów.</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Prawo podwójnego ryzyka (Double Jeopardy) nie zabija kreatywności – ustawia realistyczne granice strategii.</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Wzrost przez „nowe zastosowania” często wymaga nie tylko reklamy, ale też zmian w fizycznej dostępności produktu.</w:t>
      </w:r>
    </w:p>
    <w:p w:rsidR="00000000" w:rsidDel="00000000" w:rsidP="00000000" w:rsidRDefault="00000000" w:rsidRPr="00000000" w14:paraId="0000004D">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Zastosowanie praktyczne – e-commerce / Haxe</w:t>
      </w:r>
    </w:p>
    <w:p w:rsidR="00000000" w:rsidDel="00000000" w:rsidP="00000000" w:rsidRDefault="00000000" w:rsidRPr="00000000" w14:paraId="0000004E">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Dla Haxe najważniejsze jest zwiększanie liczby osób, które w ogóle kupią urządzenie marki, a nie wyłącznie próby podnoszenia częstotliwości zakupów obecnych klientów. W praktyce oznacza to kampanie zasięgowe, SEO kategorii, marketplace’y, dystrybucję oraz prostą komunikację problem–rozwiązanie dla wielu lekkich kupujących.</w:t>
      </w:r>
    </w:p>
    <w:p w:rsidR="00000000" w:rsidDel="00000000" w:rsidP="00000000" w:rsidRDefault="00000000" w:rsidRPr="00000000" w14:paraId="0000004F">
      <w:pPr>
        <w:pStyle w:val="Heading1"/>
        <w:rPr>
          <w:rFonts w:ascii="Times New Roman" w:cs="Times New Roman" w:eastAsia="Times New Roman" w:hAnsi="Times New Roman"/>
          <w:sz w:val="34"/>
          <w:szCs w:val="34"/>
        </w:rPr>
      </w:pPr>
      <w:bookmarkStart w:colFirst="0" w:colLast="0" w:name="_heading=h.497fs2kfb4ar" w:id="5"/>
      <w:bookmarkEnd w:id="5"/>
      <w:r w:rsidDel="00000000" w:rsidR="00000000" w:rsidRPr="00000000">
        <w:rPr>
          <w:rFonts w:ascii="Times New Roman" w:cs="Times New Roman" w:eastAsia="Times New Roman" w:hAnsi="Times New Roman"/>
          <w:sz w:val="34"/>
          <w:szCs w:val="34"/>
          <w:rtl w:val="0"/>
        </w:rPr>
        <w:t xml:space="preserve">Jak powiększać bazę klientów?</w:t>
      </w:r>
    </w:p>
    <w:p w:rsidR="00000000" w:rsidDel="00000000" w:rsidP="00000000" w:rsidRDefault="00000000" w:rsidRPr="00000000" w14:paraId="00000050">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Rozdział trzeci rozwija pytanie: skoro wzrost oznacza większą bazę kupujących, to czy lepiej rosnąć przez zatrzymywanie klientów, czy przez pozyskiwanie nowych? Marketingowa ideologia przez lata mówiła, że retencja jest tańsza niż akwizycja. Sharp kwestionuje to przekonanie i pokazuje, że słynne twierdzenia o ogromnym wzroście zysków dzięki niewielkiej poprawie retencji opierały się bardziej na eksperymencie myślowym niż na realnych danych.</w:t>
      </w:r>
    </w:p>
    <w:p w:rsidR="00000000" w:rsidDel="00000000" w:rsidP="00000000" w:rsidRDefault="00000000" w:rsidRPr="00000000" w14:paraId="00000051">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Defection, czyli odpływ klientów, także zachowuje się zgodnie z prawem podwójnego ryzyka (Double Jeopardy). Większe marki tracą więcej klientów w liczbach bezwzględnych, bo mają ich więcej, ale jako procent bazy tracą mniej. Mniejsze marki mają wyższe wskaźniki odpływu, bo ich bazy są mniejsze i mniej stabilne. To nie musi oznaczać gorszej obsługi, słabszego produktu czy złego programu retencyjnego.</w:t>
      </w:r>
    </w:p>
    <w:p w:rsidR="00000000" w:rsidDel="00000000" w:rsidP="00000000" w:rsidRDefault="00000000" w:rsidRPr="00000000" w14:paraId="00000052">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Przykłady z rynków samochodów i banków pokazują, że wskaźniki odpływu klientów są dość podobne w ramach kategorii i silnie związane z udziałem w rynku oraz fizyczną dostępnością. Adelaide Bank tracił więcej klientów niż duży CBA nie dlatego, że miał gorszą relację, lecz dlatego, że był lokalny – gdy klient przeprowadzał się do innego miasta, tracił wygodny dostęp do oddziału. To ważna lekcja: część odpływu wynika z sytuacji życiowych i dostępności, których marketer nie kontroluje.</w:t>
      </w:r>
    </w:p>
    <w:p w:rsidR="00000000" w:rsidDel="00000000" w:rsidP="00000000" w:rsidRDefault="00000000" w:rsidRPr="00000000" w14:paraId="00000053">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Najmocniejszy wniosek rozdziału brzmi: nawet rosnące marki tracą klientów. Wzrost nie polega na zatrzymaniu wszystkich, lecz na pozyskiwaniu więcej niż się traci. Badania opisane przez Sharpa pokazują, że marki rosnące wyróżnia nadzwyczajna akwizycja, a marki spadające – słaba akwizycja. Defekcja zwykle nie zmienia się dramatycznie.</w:t>
      </w:r>
    </w:p>
    <w:p w:rsidR="00000000" w:rsidDel="00000000" w:rsidP="00000000" w:rsidRDefault="00000000" w:rsidRPr="00000000" w14:paraId="00000054">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Rozdział kończy się prostą zasadą: akwizycja nie jest opcjonalna. Aby utrzymać markę, trzeba stale pozyskiwać kupujących, bo naturalnie część klientów odchodzi, zapomina, zmienia potrzeby, przenosi się albo kupuje konkurencję.</w:t>
      </w:r>
    </w:p>
    <w:p w:rsidR="00000000" w:rsidDel="00000000" w:rsidP="00000000" w:rsidRDefault="00000000" w:rsidRPr="00000000" w14:paraId="00000055">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Ważne pojęcia i definicje</w:t>
      </w:r>
    </w:p>
    <w:tbl>
      <w:tblPr>
        <w:tblStyle w:val="Table6"/>
        <w:tblW w:w="10080.0" w:type="dxa"/>
        <w:jc w:val="center"/>
        <w:tblLayout w:type="fixed"/>
        <w:tblLook w:val="0400"/>
      </w:tblPr>
      <w:tblGrid>
        <w:gridCol w:w="10080"/>
        <w:tblGridChange w:id="0">
          <w:tblGrid>
            <w:gridCol w:w="10080"/>
          </w:tblGrid>
        </w:tblGridChange>
      </w:tblGrid>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56">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Retencja</w:t>
            </w:r>
            <w:r w:rsidDel="00000000" w:rsidR="00000000" w:rsidRPr="00000000">
              <w:rPr>
                <w:rtl w:val="0"/>
              </w:rPr>
            </w:r>
          </w:p>
          <w:p w:rsidR="00000000" w:rsidDel="00000000" w:rsidP="00000000" w:rsidRDefault="00000000" w:rsidRPr="00000000" w14:paraId="00000057">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Zdolność utrzymywania klientów w kolejnych okresach.</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58">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Defection</w:t>
            </w:r>
            <w:r w:rsidDel="00000000" w:rsidR="00000000" w:rsidRPr="00000000">
              <w:rPr>
                <w:rtl w:val="0"/>
              </w:rPr>
            </w:r>
          </w:p>
          <w:p w:rsidR="00000000" w:rsidDel="00000000" w:rsidP="00000000" w:rsidRDefault="00000000" w:rsidRPr="00000000" w14:paraId="0000005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Odpływ klientów – sytuacja, w której kupujący przestaje kupować markę w danym okresie.</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5A">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Akwizycja</w:t>
            </w:r>
            <w:r w:rsidDel="00000000" w:rsidR="00000000" w:rsidRPr="00000000">
              <w:rPr>
                <w:rtl w:val="0"/>
              </w:rPr>
            </w:r>
          </w:p>
          <w:p w:rsidR="00000000" w:rsidDel="00000000" w:rsidP="00000000" w:rsidRDefault="00000000" w:rsidRPr="00000000" w14:paraId="0000005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Pozyskiwanie nowych lub powracających kupujących do bazy marki.</w:t>
            </w:r>
          </w:p>
        </w:tc>
      </w:tr>
    </w:tbl>
    <w:p w:rsidR="00000000" w:rsidDel="00000000" w:rsidP="00000000" w:rsidRDefault="00000000" w:rsidRPr="00000000" w14:paraId="0000005C">
      <w:pPr>
        <w:pStyle w:val="Heading2"/>
        <w:rPr>
          <w:rFonts w:ascii="Times New Roman" w:cs="Times New Roman" w:eastAsia="Times New Roman" w:hAnsi="Times New Roman"/>
          <w:sz w:val="26"/>
          <w:szCs w:val="26"/>
        </w:rPr>
      </w:pPr>
      <w:bookmarkStart w:colFirst="0" w:colLast="0" w:name="_heading=h.x8bzk9sdrutn" w:id="6"/>
      <w:bookmarkEnd w:id="6"/>
      <w:r w:rsidDel="00000000" w:rsidR="00000000" w:rsidRPr="00000000">
        <w:rPr>
          <w:rFonts w:ascii="Times New Roman" w:cs="Times New Roman" w:eastAsia="Times New Roman" w:hAnsi="Times New Roman"/>
          <w:sz w:val="26"/>
          <w:szCs w:val="26"/>
          <w:rtl w:val="0"/>
        </w:rPr>
        <w:t xml:space="preserve">Do zapamiętania</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Defection jest miarą lojalności, więc również podlega prawu podwójnego ryzyka (Double Jeopardy).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Zero odpływu to fantazja, nie realistyczny cel strategii.</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Wielkość marki i dostępność fizyczna często wyjaśniają retencję lepiej niż „relacja z klientem”.</w:t>
      </w:r>
      <w:r w:rsidDel="00000000" w:rsidR="00000000" w:rsidRPr="00000000">
        <w:rPr>
          <w:rtl w:val="0"/>
        </w:rPr>
      </w:r>
    </w:p>
    <w:p w:rsidR="00000000" w:rsidDel="00000000" w:rsidP="00000000" w:rsidRDefault="00000000" w:rsidRPr="00000000" w14:paraId="00000060">
      <w:pPr>
        <w:pStyle w:val="Heading2"/>
        <w:spacing w:after="40" w:lineRule="auto"/>
        <w:rPr>
          <w:rFonts w:ascii="Times New Roman" w:cs="Times New Roman" w:eastAsia="Times New Roman" w:hAnsi="Times New Roman"/>
          <w:sz w:val="26"/>
          <w:szCs w:val="26"/>
        </w:rPr>
      </w:pPr>
      <w:bookmarkStart w:colFirst="0" w:colLast="0" w:name="_heading=h.1voz2wy7kd8n" w:id="7"/>
      <w:bookmarkEnd w:id="7"/>
      <w:r w:rsidDel="00000000" w:rsidR="00000000" w:rsidRPr="00000000">
        <w:rPr>
          <w:rFonts w:ascii="Times New Roman" w:cs="Times New Roman" w:eastAsia="Times New Roman" w:hAnsi="Times New Roman"/>
          <w:sz w:val="26"/>
          <w:szCs w:val="26"/>
          <w:rtl w:val="0"/>
        </w:rPr>
        <w:t xml:space="preserve">Zastosowanie praktyczne – e-commerce / Haxe</w:t>
      </w:r>
    </w:p>
    <w:p w:rsidR="00000000" w:rsidDel="00000000" w:rsidP="00000000" w:rsidRDefault="00000000" w:rsidRPr="00000000" w14:paraId="00000061">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 Haxe retencja może mieć znaczenie przy akcesoriach, końcówkach wymiennych czy kolejnych urządzeniach, ale wzrost marki wymaga przede wszystkim akwizycji. Reklamy nie powinny być kierowane tylko do obecnych klientów w remarketingu. Trzeba stale docierać do nowych osób, które właśnie zaczynają rozważać zakup irygatora, szczoteczki, IPL czy urządzenia beauty.</w:t>
      </w:r>
    </w:p>
    <w:p w:rsidR="00000000" w:rsidDel="00000000" w:rsidP="00000000" w:rsidRDefault="00000000" w:rsidRPr="00000000" w14:paraId="00000062">
      <w:pPr>
        <w:pStyle w:val="Heading1"/>
        <w:spacing w:after="120" w:line="269" w:lineRule="auto"/>
        <w:jc w:val="both"/>
        <w:rPr>
          <w:rFonts w:ascii="Times New Roman" w:cs="Times New Roman" w:eastAsia="Times New Roman" w:hAnsi="Times New Roman"/>
          <w:sz w:val="34"/>
          <w:szCs w:val="34"/>
        </w:rPr>
      </w:pPr>
      <w:bookmarkStart w:colFirst="0" w:colLast="0" w:name="_heading=h.4h7jdo2v3lfp" w:id="8"/>
      <w:bookmarkEnd w:id="8"/>
      <w:r w:rsidDel="00000000" w:rsidR="00000000" w:rsidRPr="00000000">
        <w:rPr>
          <w:rFonts w:ascii="Times New Roman" w:cs="Times New Roman" w:eastAsia="Times New Roman" w:hAnsi="Times New Roman"/>
          <w:sz w:val="34"/>
          <w:szCs w:val="34"/>
          <w:rtl w:val="0"/>
        </w:rPr>
        <w:t xml:space="preserve">Którzy klienci są najważniejsi?</w:t>
      </w:r>
    </w:p>
    <w:p w:rsidR="00000000" w:rsidDel="00000000" w:rsidP="00000000" w:rsidRDefault="00000000" w:rsidRPr="00000000" w14:paraId="00000063">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Sharp zaczyna od krytyki tezy o śmierci marketingu masowego. Nowoczesny marketing często zachęca do wąskiego targetowania, lojalności, influencerów, CRM i „engagementu”. Autor odpowiada: skoro marki mają rosnąć przez penetrację, muszą docierać do wszystkich typów kupujących w kategorii, a nie tylko do najcięższych użytkowników.</w:t>
      </w:r>
    </w:p>
    <w:p w:rsidR="00000000" w:rsidDel="00000000" w:rsidP="00000000" w:rsidRDefault="00000000" w:rsidRPr="00000000" w14:paraId="00000064">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Rozdział pokazuje rozkład zakupów marek. Jest on silnie skośny: większość kupujących kupuje markę bardzo rzadko, a niewielka grupa kupuje często. Przykład Coca-Coli jest celowo mocny, bo nawet tak wielka marka ma mnóstwo lekkich kupujących. Typowy kupujący Coke w analizowanym rynku kupuje ją bardzo sporadycznie, a średnia jest zawyżana przez niewielką grupę superintensywnych nabywców.</w:t>
      </w:r>
    </w:p>
    <w:p w:rsidR="00000000" w:rsidDel="00000000" w:rsidP="00000000" w:rsidRDefault="00000000" w:rsidRPr="00000000" w14:paraId="00000065">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 tym miejscu Sharp prostuje popularne prawo Pareto. Marketingowe 80/20 jest zbyt skrajne. W wielu kategoriach górne 20% kupujących generuje raczej około połowy sprzedaży, a nie 80%. Oznacza to, że lekcy i średni kupujący są znacznie ważniejsi, niż sugeruje uproszczona wersja Pareto. Ignorowanie lekkich kupujących oznacza ignorowanie dużej części sprzedaży i przyszłego potencjału.</w:t>
      </w:r>
    </w:p>
    <w:p w:rsidR="00000000" w:rsidDel="00000000" w:rsidP="00000000" w:rsidRDefault="00000000" w:rsidRPr="00000000" w14:paraId="00000066">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Bardzo ważne jest prawo buyer moderation, czyli regresja do średniej. Kupujący sklasyfikowani w jednym roku jako intensywni nabywcy w kolejnym roku zwykle kupują mniej, a część nabywcy okazjonalni i niekupujący zaczyna kupować więcej. To nie musi oznaczać prawdziwej zmiany lojalności – często wynika z naturalnych wahań zakupu, okazji, pogody, wizyt gości, promocji czy zwykłego przypadku.</w:t>
      </w:r>
    </w:p>
    <w:p w:rsidR="00000000" w:rsidDel="00000000" w:rsidP="00000000" w:rsidRDefault="00000000" w:rsidRPr="00000000" w14:paraId="00000067">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Sharp wyjaśnia też Negative Binomial Distribution (ujemny rozkład dwumianowy), czyli statystyczny wzór rozkładu częstotliwości zakupów. Kiedy marka rośnie, nie zdobywa tylko intensywni nabywcy. Zmiana zachodzi w całej populacji: pojawia się trochę więcej ciężkich, średnich i bardzo dużo lekkich kupujących. Dlatego marketing musi docierać szeroko.</w:t>
      </w:r>
    </w:p>
    <w:p w:rsidR="00000000" w:rsidDel="00000000" w:rsidP="00000000" w:rsidRDefault="00000000" w:rsidRPr="00000000" w14:paraId="00000068">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Ważne pojęcia i definicje</w:t>
      </w:r>
    </w:p>
    <w:tbl>
      <w:tblPr>
        <w:tblStyle w:val="Table7"/>
        <w:tblW w:w="10080.0" w:type="dxa"/>
        <w:jc w:val="center"/>
        <w:tblLayout w:type="fixed"/>
        <w:tblLook w:val="0400"/>
      </w:tblPr>
      <w:tblGrid>
        <w:gridCol w:w="10080"/>
        <w:tblGridChange w:id="0">
          <w:tblGrid>
            <w:gridCol w:w="10080"/>
          </w:tblGrid>
        </w:tblGridChange>
      </w:tblGrid>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69">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nabywcy okazjonalni (light buyers)</w:t>
            </w:r>
            <w:r w:rsidDel="00000000" w:rsidR="00000000" w:rsidRPr="00000000">
              <w:rPr>
                <w:rtl w:val="0"/>
              </w:rPr>
            </w:r>
          </w:p>
          <w:p w:rsidR="00000000" w:rsidDel="00000000" w:rsidP="00000000" w:rsidRDefault="00000000" w:rsidRPr="00000000" w14:paraId="0000006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Kupujący, którzy kupują markę rzadko, ale jest ich bardzo dużo i zbiorowo są ważni dla sprzedaży.</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6B">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intensywni nabywcy (heavy buyers)</w:t>
            </w:r>
            <w:r w:rsidDel="00000000" w:rsidR="00000000" w:rsidRPr="00000000">
              <w:rPr>
                <w:rtl w:val="0"/>
              </w:rPr>
            </w:r>
          </w:p>
          <w:p w:rsidR="00000000" w:rsidDel="00000000" w:rsidP="00000000" w:rsidRDefault="00000000" w:rsidRPr="00000000" w14:paraId="0000006C">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Kupujący często; ważni wolumenowo, ale nieliczni i często mniej podatni na dalszy wzrost.</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6D">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Prawo dążenia do umiaru (buyer moderation)</w:t>
            </w:r>
            <w:r w:rsidDel="00000000" w:rsidR="00000000" w:rsidRPr="00000000">
              <w:rPr>
                <w:rtl w:val="0"/>
              </w:rPr>
            </w:r>
          </w:p>
          <w:p w:rsidR="00000000" w:rsidDel="00000000" w:rsidP="00000000" w:rsidRDefault="00000000" w:rsidRPr="00000000" w14:paraId="0000006E">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Naturalna tendencja, że bardzo ciężcy kupujący w kolejnym okresie stają się lżejsi, a część lekkich lub zerowych kupuje więcej.</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6F">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rozkład NBD</w:t>
            </w:r>
            <w:r w:rsidDel="00000000" w:rsidR="00000000" w:rsidRPr="00000000">
              <w:rPr>
                <w:rtl w:val="0"/>
              </w:rPr>
            </w:r>
          </w:p>
          <w:p w:rsidR="00000000" w:rsidDel="00000000" w:rsidP="00000000" w:rsidRDefault="00000000" w:rsidRPr="00000000" w14:paraId="0000007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Negative Binomial Distribution (ujemny rozkład dwumianowy) – statystyczny rozkład pokazujący, że większość kupujących markę kupuje ją rzadko.</w:t>
            </w:r>
          </w:p>
        </w:tc>
      </w:tr>
    </w:tbl>
    <w:p w:rsidR="00000000" w:rsidDel="00000000" w:rsidP="00000000" w:rsidRDefault="00000000" w:rsidRPr="00000000" w14:paraId="00000071">
      <w:pPr>
        <w:pStyle w:val="Heading2"/>
        <w:rPr>
          <w:rFonts w:ascii="Times New Roman" w:cs="Times New Roman" w:eastAsia="Times New Roman" w:hAnsi="Times New Roman"/>
          <w:sz w:val="26"/>
          <w:szCs w:val="26"/>
        </w:rPr>
      </w:pPr>
      <w:bookmarkStart w:colFirst="0" w:colLast="0" w:name="_heading=h.w1fvn2yzpg79" w:id="9"/>
      <w:bookmarkEnd w:id="9"/>
      <w:r w:rsidDel="00000000" w:rsidR="00000000" w:rsidRPr="00000000">
        <w:rPr>
          <w:rFonts w:ascii="Times New Roman" w:cs="Times New Roman" w:eastAsia="Times New Roman" w:hAnsi="Times New Roman"/>
          <w:sz w:val="26"/>
          <w:szCs w:val="26"/>
          <w:rtl w:val="0"/>
        </w:rPr>
        <w:t xml:space="preserve">Do zapamiętania</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Średnia częstotliwość zakupu bywa myląca, bo przeciętny kupujący nie jest typowy.</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Krótkie okna analizy mocniej zniekształcają klasyfikację nabywców intensywnych i okazjonalnych (heavy/light buyers).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Aby utrzymać sprzedaż, marka musi stale przypominać się ludziom, którzy kupują ją bardzo rzadko.</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6">
      <w:pPr>
        <w:pStyle w:val="Heading2"/>
        <w:spacing w:after="40" w:lineRule="auto"/>
        <w:rPr>
          <w:rFonts w:ascii="Times New Roman" w:cs="Times New Roman" w:eastAsia="Times New Roman" w:hAnsi="Times New Roman"/>
          <w:sz w:val="26"/>
          <w:szCs w:val="26"/>
        </w:rPr>
      </w:pPr>
      <w:bookmarkStart w:colFirst="0" w:colLast="0" w:name="_heading=h.ua3q2d2dil73" w:id="10"/>
      <w:bookmarkEnd w:id="10"/>
      <w:r w:rsidDel="00000000" w:rsidR="00000000" w:rsidRPr="00000000">
        <w:rPr>
          <w:rFonts w:ascii="Times New Roman" w:cs="Times New Roman" w:eastAsia="Times New Roman" w:hAnsi="Times New Roman"/>
          <w:sz w:val="26"/>
          <w:szCs w:val="26"/>
          <w:rtl w:val="0"/>
        </w:rPr>
        <w:t xml:space="preserve">Zastosowanie praktyczne – e-commerce / Haxe</w:t>
      </w:r>
    </w:p>
    <w:p w:rsidR="00000000" w:rsidDel="00000000" w:rsidP="00000000" w:rsidRDefault="00000000" w:rsidRPr="00000000" w14:paraId="00000077">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Dla Haxe oznacza to, że nie wystarczy remarketing do osób, które były na stronie. Trzeba budować szeroki popyt kategorii i obecność marki wśród ludzi, którzy dopiero raz na jakiś czas kupują urządzenie beauty lub higieniczne. W praktyce: szerokie kampanie PMax/YouTube, SEO poradnikowe i reklamy problem-first dla nowych użytkowników kategorii.</w:t>
      </w:r>
    </w:p>
    <w:p w:rsidR="00000000" w:rsidDel="00000000" w:rsidP="00000000" w:rsidRDefault="00000000" w:rsidRPr="00000000" w14:paraId="00000078">
      <w:pPr>
        <w:pStyle w:val="Heading1"/>
        <w:spacing w:after="120" w:line="269" w:lineRule="auto"/>
        <w:jc w:val="both"/>
        <w:rPr>
          <w:rFonts w:ascii="Times New Roman" w:cs="Times New Roman" w:eastAsia="Times New Roman" w:hAnsi="Times New Roman"/>
          <w:sz w:val="34"/>
          <w:szCs w:val="34"/>
        </w:rPr>
      </w:pPr>
      <w:bookmarkStart w:colFirst="0" w:colLast="0" w:name="_heading=h.us92nllgu8om" w:id="11"/>
      <w:bookmarkEnd w:id="11"/>
      <w:r w:rsidDel="00000000" w:rsidR="00000000" w:rsidRPr="00000000">
        <w:rPr>
          <w:rFonts w:ascii="Times New Roman" w:cs="Times New Roman" w:eastAsia="Times New Roman" w:hAnsi="Times New Roman"/>
          <w:sz w:val="34"/>
          <w:szCs w:val="34"/>
          <w:rtl w:val="0"/>
        </w:rPr>
        <w:t xml:space="preserve">Wyjątkowość klientów</w:t>
      </w:r>
      <w:r w:rsidDel="00000000" w:rsidR="00000000" w:rsidRPr="00000000">
        <w:rPr>
          <w:rtl w:val="0"/>
        </w:rPr>
      </w:r>
    </w:p>
    <w:p w:rsidR="00000000" w:rsidDel="00000000" w:rsidP="00000000" w:rsidRDefault="00000000" w:rsidRPr="00000000" w14:paraId="00000079">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Chodzi o obalenie mitu, że marka ma wyjątkowy typ klienta. Sharp pokazuje, że konkurencyjne marki w kategorii sprzedają zwykle do bardzo podobnych baz klientów. Różnice demograficzne, medialne, psychograficzne i wartościowe są małe. Oczywiście istnieją oczywiste wyjątki, na przykład drogie marki kupują częściej zamożniejsi klienci, ale w ramach realnego zestawu konkurencyjnego profile użytkowników są zwykle podobne.</w:t>
      </w:r>
    </w:p>
    <w:p w:rsidR="00000000" w:rsidDel="00000000" w:rsidP="00000000" w:rsidRDefault="00000000" w:rsidRPr="00000000" w14:paraId="0000007A">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odkrycie jest niewygodne dla marketerów, bo wiele strategii opiera się na przekonaniu, że „nasi klienci są inni”. Jeśli jednak klienci są podobni do klientów konkurencji, to konkurenci mogą ich zdobyć, a my możemy zdobyć ich klientów. Rynek nie jest zbiorem odseparowanych plemion marek, ale wspólną pulą kupujących kategorię.</w:t>
      </w:r>
    </w:p>
    <w:p w:rsidR="00000000" w:rsidDel="00000000" w:rsidP="00000000" w:rsidRDefault="00000000" w:rsidRPr="00000000" w14:paraId="0000007B">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Sharp krytykuje nadmierne przywiązanie do segmentacji, person i profili psychograficznych. Nie chodzi o to, że każda segmentacja jest bezużyteczna. Chodzi o to, że często odkrywa różnice małe, niestabilne lub mało praktyczne. Marketerzy wydają pieniądze na badania, które mają pokazać wyjątkowość marki, podczas gdy najważniejsza różnica to najczęściej skala penetracji.</w:t>
      </w:r>
    </w:p>
    <w:p w:rsidR="00000000" w:rsidDel="00000000" w:rsidP="00000000" w:rsidRDefault="00000000" w:rsidRPr="00000000" w14:paraId="0000007C">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Ważne są również konsekwencje targetowania. Jeśli marka sprzedaje do podobnych ludzi co konkurencja, to wąski target może sztucznie ograniczać wzrost. Lepszą zasadą jest docieranie do wszystkich kupujących kategorię z uwzględnieniem praktycznych ograniczeń dostępności fizycznej, geografii, ceny i regulacji.</w:t>
      </w:r>
    </w:p>
    <w:p w:rsidR="00000000" w:rsidDel="00000000" w:rsidP="00000000" w:rsidRDefault="00000000" w:rsidRPr="00000000" w14:paraId="0000007D">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Najważniejsza lekcja: nie zakładaj, że istnieje magiczny profil idealnego klienta, który wystarczy precyzyjnie znaleźć. Wzrost wymaga szerokiego dotarcia do kategorii, bo klienci konkurencji wyglądają bardzo podobnie do naszych i są „do wzięcia”.</w:t>
      </w:r>
    </w:p>
    <w:p w:rsidR="00000000" w:rsidDel="00000000" w:rsidP="00000000" w:rsidRDefault="00000000" w:rsidRPr="00000000" w14:paraId="0000007E">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Ważne pojęcia i definicje</w:t>
      </w:r>
    </w:p>
    <w:tbl>
      <w:tblPr>
        <w:tblStyle w:val="Table8"/>
        <w:tblW w:w="10080.0" w:type="dxa"/>
        <w:jc w:val="center"/>
        <w:tblLayout w:type="fixed"/>
        <w:tblLook w:val="0400"/>
      </w:tblPr>
      <w:tblGrid>
        <w:gridCol w:w="10080"/>
        <w:tblGridChange w:id="0">
          <w:tblGrid>
            <w:gridCol w:w="10080"/>
          </w:tblGrid>
        </w:tblGridChange>
      </w:tblGrid>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7F">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Profil użytkowników marki (brand-user profile)</w:t>
            </w:r>
            <w:r w:rsidDel="00000000" w:rsidR="00000000" w:rsidRPr="00000000">
              <w:rPr>
                <w:rtl w:val="0"/>
              </w:rPr>
            </w:r>
          </w:p>
          <w:p w:rsidR="00000000" w:rsidDel="00000000" w:rsidP="00000000" w:rsidRDefault="00000000" w:rsidRPr="00000000" w14:paraId="0000008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Profil osób kupujących daną markę – według Sharpa zwykle podobny do profilu kupujących konkurencyjne marki.</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81">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Rynek docelowy</w:t>
            </w:r>
            <w:r w:rsidDel="00000000" w:rsidR="00000000" w:rsidRPr="00000000">
              <w:rPr>
                <w:rtl w:val="0"/>
              </w:rPr>
            </w:r>
          </w:p>
          <w:p w:rsidR="00000000" w:rsidDel="00000000" w:rsidP="00000000" w:rsidRDefault="00000000" w:rsidRPr="00000000" w14:paraId="0000008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 praktyce często oznacza wszystkich realnych kupujących kategorię, nie tylko wąski segment.</w:t>
            </w:r>
          </w:p>
        </w:tc>
      </w:tr>
    </w:tbl>
    <w:p w:rsidR="00000000" w:rsidDel="00000000" w:rsidP="00000000" w:rsidRDefault="00000000" w:rsidRPr="00000000" w14:paraId="00000083">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Zastosowanie praktyczne – e-commerce / Haxe</w:t>
      </w:r>
    </w:p>
    <w:p w:rsidR="00000000" w:rsidDel="00000000" w:rsidP="00000000" w:rsidRDefault="00000000" w:rsidRPr="00000000" w14:paraId="00000084">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Dla Haxe persony mogą pomagać w pisaniu komunikatów, ale media i dystrybucja nie powinny być zbyt wąskie. Kupujący IPL, irygator czy szczoteczkę soniczną mogą różnić się motywacjami, ale często należą do tej samej szerokiej puli osób dbających o zdrowie, higienę i wygląd. Strategia powinna obejmować całą kategorię, nie tylko „idealną klientkę”.</w:t>
      </w:r>
    </w:p>
    <w:p w:rsidR="00000000" w:rsidDel="00000000" w:rsidP="00000000" w:rsidRDefault="00000000" w:rsidRPr="00000000" w14:paraId="00000085">
      <w:pPr>
        <w:pStyle w:val="Heading1"/>
        <w:spacing w:after="120" w:line="269" w:lineRule="auto"/>
        <w:jc w:val="both"/>
        <w:rPr>
          <w:rFonts w:ascii="Times New Roman" w:cs="Times New Roman" w:eastAsia="Times New Roman" w:hAnsi="Times New Roman"/>
          <w:sz w:val="34"/>
          <w:szCs w:val="34"/>
        </w:rPr>
      </w:pPr>
      <w:bookmarkStart w:colFirst="0" w:colLast="0" w:name="_heading=h.npeu88pl2q7q" w:id="12"/>
      <w:bookmarkEnd w:id="12"/>
      <w:r w:rsidDel="00000000" w:rsidR="00000000" w:rsidRPr="00000000">
        <w:rPr>
          <w:rFonts w:ascii="Times New Roman" w:cs="Times New Roman" w:eastAsia="Times New Roman" w:hAnsi="Times New Roman"/>
          <w:sz w:val="34"/>
          <w:szCs w:val="34"/>
          <w:rtl w:val="0"/>
        </w:rPr>
        <w:t xml:space="preserve">Z kim realnie konkurujemy? </w:t>
      </w:r>
    </w:p>
    <w:p w:rsidR="00000000" w:rsidDel="00000000" w:rsidP="00000000" w:rsidRDefault="00000000" w:rsidRPr="00000000" w14:paraId="00000086">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Tradycyjny marketing często mówi, że konkurencja zależy od pozycjonowania i segmentu. Sharp pokazuje, że realną konkurencję najlepiej widać w danych zakupowych: które marki są kupowane przez tych samych ludzi. Tutaj pojawia się prawo duplikacji zakupów.</w:t>
      </w:r>
    </w:p>
    <w:p w:rsidR="00000000" w:rsidDel="00000000" w:rsidP="00000000" w:rsidRDefault="00000000" w:rsidRPr="00000000" w14:paraId="00000087">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Prawo duplikacji mówi, że marka dzieli więcej klientów z dużymi markami, a mniej z małymi – mniej więcej proporcjonalnie do ich udziału w rynku. Nie dlatego, że duże marki są „bardziej podobne” strategicznie, ale dlatego, że są bardziej popularne. Klienci zwykle mają repertuar kilku marek i kupują je w różnych sytuacjach.</w:t>
      </w:r>
    </w:p>
    <w:p w:rsidR="00000000" w:rsidDel="00000000" w:rsidP="00000000" w:rsidRDefault="00000000" w:rsidRPr="00000000" w14:paraId="00000088">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 prawo ogranicza znaczenie map pozycjonowania. Dwie marki mogą wydawać się odległe na mapie wizerunkowej, ale nadal silnie współdzielić klientów, jeśli obie są popularne w tej samej kategorii. Z drugiej strony mała marka może wyglądać jak bezpośredni konkurent na poziomie komunikacji, ale dzielić niewielu klientów po prostu dlatego, że ma małą penetrację.</w:t>
      </w:r>
    </w:p>
    <w:p w:rsidR="00000000" w:rsidDel="00000000" w:rsidP="00000000" w:rsidRDefault="00000000" w:rsidRPr="00000000" w14:paraId="00000089">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Sharp opisuje też partitioning, czyli częściowe podziały rynku. One istnieją, ale zwykle są słabe. Mogą wynikać z ceny, kanału, geografii, języka albo formatu produktu. Nie oznacza to jednak, że rynek składa się z odseparowanych światów. Najczęściej marki konkurują z całym szerokim zestawem innych marek w kategorii.</w:t>
      </w:r>
    </w:p>
    <w:p w:rsidR="00000000" w:rsidDel="00000000" w:rsidP="00000000" w:rsidRDefault="00000000" w:rsidRPr="00000000" w14:paraId="0000008A">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Dla strategii oznacza to, że nie należy definiować konkurencji wyłącznie na podstawie deklaracji marki lub kreatywnego pozycjonowania. Trzeba patrzeć na realne współkupowanie i wielkość marek. Największa marka kategorii prawie zawsze będzie ważnym konkurentem, bo dzieli klientów z wieloma innymi markami.</w:t>
      </w:r>
    </w:p>
    <w:p w:rsidR="00000000" w:rsidDel="00000000" w:rsidP="00000000" w:rsidRDefault="00000000" w:rsidRPr="00000000" w14:paraId="0000008B">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Ważne pojęcia i definicje</w:t>
      </w:r>
    </w:p>
    <w:tbl>
      <w:tblPr>
        <w:tblStyle w:val="Table9"/>
        <w:tblW w:w="10080.0" w:type="dxa"/>
        <w:jc w:val="center"/>
        <w:tblLayout w:type="fixed"/>
        <w:tblLook w:val="0400"/>
      </w:tblPr>
      <w:tblGrid>
        <w:gridCol w:w="10080"/>
        <w:tblGridChange w:id="0">
          <w:tblGrid>
            <w:gridCol w:w="10080"/>
          </w:tblGrid>
        </w:tblGridChange>
      </w:tblGrid>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8C">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Prawo duplikacji zakupów</w:t>
            </w:r>
            <w:r w:rsidDel="00000000" w:rsidR="00000000" w:rsidRPr="00000000">
              <w:rPr>
                <w:rtl w:val="0"/>
              </w:rPr>
            </w:r>
          </w:p>
          <w:p w:rsidR="00000000" w:rsidDel="00000000" w:rsidP="00000000" w:rsidRDefault="00000000" w:rsidRPr="00000000" w14:paraId="0000008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Marki współdzielą kupujących z innymi markami proporcjonalnie do wielkości tych marek.</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8E">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Repertuar marek</w:t>
            </w:r>
            <w:r w:rsidDel="00000000" w:rsidR="00000000" w:rsidRPr="00000000">
              <w:rPr>
                <w:rtl w:val="0"/>
              </w:rPr>
            </w:r>
          </w:p>
          <w:p w:rsidR="00000000" w:rsidDel="00000000" w:rsidP="00000000" w:rsidRDefault="00000000" w:rsidRPr="00000000" w14:paraId="0000008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Zestaw marek, które klient kupuje w danej kategorii w różnych okresach i sytuacjach.</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90">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Partitioning</w:t>
            </w:r>
            <w:r w:rsidDel="00000000" w:rsidR="00000000" w:rsidRPr="00000000">
              <w:rPr>
                <w:rtl w:val="0"/>
              </w:rPr>
            </w:r>
          </w:p>
          <w:p w:rsidR="00000000" w:rsidDel="00000000" w:rsidP="00000000" w:rsidRDefault="00000000" w:rsidRPr="00000000" w14:paraId="0000009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Słabe podziały w rynku, gdzie niektóre marki konkurują ze sobą nieco bardziej niż wynikałoby z samej wielkości.</w:t>
            </w:r>
          </w:p>
        </w:tc>
      </w:tr>
    </w:tbl>
    <w:p w:rsidR="00000000" w:rsidDel="00000000" w:rsidP="00000000" w:rsidRDefault="00000000" w:rsidRPr="00000000" w14:paraId="00000092">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Mit vs rzeczywistość</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9" w:val="clear"/>
          </w:tcPr>
          <w:p w:rsidR="00000000" w:rsidDel="00000000" w:rsidP="00000000" w:rsidRDefault="00000000" w:rsidRPr="00000000" w14:paraId="00000093">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Mit / stare założenie</w:t>
            </w:r>
            <w:r w:rsidDel="00000000" w:rsidR="00000000" w:rsidRPr="00000000">
              <w:rPr>
                <w:rtl w:val="0"/>
              </w:rPr>
            </w:r>
          </w:p>
        </w:tc>
        <w:tc>
          <w:tcPr>
            <w:shd w:fill="1f4e79" w:val="clear"/>
          </w:tcPr>
          <w:p w:rsidR="00000000" w:rsidDel="00000000" w:rsidP="00000000" w:rsidRDefault="00000000" w:rsidRPr="00000000" w14:paraId="00000094">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Rzeczywistość według Sharpa</w:t>
            </w:r>
            <w:r w:rsidDel="00000000" w:rsidR="00000000" w:rsidRPr="00000000">
              <w:rPr>
                <w:rtl w:val="0"/>
              </w:rPr>
            </w:r>
          </w:p>
        </w:tc>
        <w:tc>
          <w:tcPr>
            <w:shd w:fill="1f4e79" w:val="clear"/>
          </w:tcPr>
          <w:p w:rsidR="00000000" w:rsidDel="00000000" w:rsidP="00000000" w:rsidRDefault="00000000" w:rsidRPr="00000000" w14:paraId="00000095">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ffffff"/>
                <w:rtl w:val="0"/>
              </w:rPr>
              <w:t xml:space="preserve">Konsekwencja dla marketera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Konkurujemy z markami podobnie pozycjonowanymi</w:t>
            </w:r>
            <w:r w:rsidDel="00000000" w:rsidR="00000000" w:rsidRPr="00000000">
              <w:rPr>
                <w:rtl w:val="0"/>
              </w:rPr>
            </w:r>
          </w:p>
        </w:tc>
        <w:tc>
          <w:tcPr>
            <w:vAlign w:val="top"/>
          </w:tcPr>
          <w:p w:rsidR="00000000" w:rsidDel="00000000" w:rsidP="00000000" w:rsidRDefault="00000000" w:rsidRPr="00000000" w14:paraId="00000097">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Konkurujemy głównie z markami, które dzielą z nami kupujących</w:t>
            </w:r>
            <w:r w:rsidDel="00000000" w:rsidR="00000000" w:rsidRPr="00000000">
              <w:rPr>
                <w:rtl w:val="0"/>
              </w:rPr>
            </w:r>
          </w:p>
        </w:tc>
        <w:tc>
          <w:tcPr>
            <w:vAlign w:val="top"/>
          </w:tcPr>
          <w:p w:rsidR="00000000" w:rsidDel="00000000" w:rsidP="00000000" w:rsidRDefault="00000000" w:rsidRPr="00000000" w14:paraId="00000098">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Analizuj dane zakupowe, nie tylko mapy percepcji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9">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Klienci są lojalni wobec jednego segmentu</w:t>
            </w:r>
            <w:r w:rsidDel="00000000" w:rsidR="00000000" w:rsidRPr="00000000">
              <w:rPr>
                <w:rtl w:val="0"/>
              </w:rPr>
            </w:r>
          </w:p>
        </w:tc>
        <w:tc>
          <w:tcPr>
            <w:vAlign w:val="top"/>
          </w:tcPr>
          <w:p w:rsidR="00000000" w:rsidDel="00000000" w:rsidP="00000000" w:rsidRDefault="00000000" w:rsidRPr="00000000" w14:paraId="0000009A">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Klienci kupują repertuar marek</w:t>
            </w:r>
            <w:r w:rsidDel="00000000" w:rsidR="00000000" w:rsidRPr="00000000">
              <w:rPr>
                <w:rtl w:val="0"/>
              </w:rPr>
            </w:r>
          </w:p>
        </w:tc>
        <w:tc>
          <w:tcPr>
            <w:vAlign w:val="top"/>
          </w:tcPr>
          <w:p w:rsidR="00000000" w:rsidDel="00000000" w:rsidP="00000000" w:rsidRDefault="00000000" w:rsidRPr="00000000" w14:paraId="0000009B">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Buduj dostępność w wielu sytuacjach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Małe podobne marki są największym zagrożeniem</w:t>
            </w:r>
            <w:r w:rsidDel="00000000" w:rsidR="00000000" w:rsidRPr="00000000">
              <w:rPr>
                <w:rtl w:val="0"/>
              </w:rPr>
            </w:r>
          </w:p>
        </w:tc>
        <w:tc>
          <w:tcPr>
            <w:vAlign w:val="top"/>
          </w:tcPr>
          <w:p w:rsidR="00000000" w:rsidDel="00000000" w:rsidP="00000000" w:rsidRDefault="00000000" w:rsidRPr="00000000" w14:paraId="0000009D">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Największe marki zwykle dzielą najwięcej klientów</w:t>
            </w:r>
            <w:r w:rsidDel="00000000" w:rsidR="00000000" w:rsidRPr="00000000">
              <w:rPr>
                <w:rtl w:val="0"/>
              </w:rPr>
            </w:r>
          </w:p>
        </w:tc>
        <w:tc>
          <w:tcPr>
            <w:vAlign w:val="top"/>
          </w:tcPr>
          <w:p w:rsidR="00000000" w:rsidDel="00000000" w:rsidP="00000000" w:rsidRDefault="00000000" w:rsidRPr="00000000" w14:paraId="0000009E">
            <w:pPr>
              <w:spacing w:after="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Monitoruj liderów kategorii</w:t>
            </w:r>
            <w:r w:rsidDel="00000000" w:rsidR="00000000" w:rsidRPr="00000000">
              <w:rPr>
                <w:rtl w:val="0"/>
              </w:rPr>
            </w:r>
          </w:p>
        </w:tc>
      </w:tr>
    </w:tbl>
    <w:p w:rsidR="00000000" w:rsidDel="00000000" w:rsidP="00000000" w:rsidRDefault="00000000" w:rsidRPr="00000000" w14:paraId="0000009F">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Zastosowanie praktyczne – e-commerce / Haxe</w:t>
      </w:r>
    </w:p>
    <w:p w:rsidR="00000000" w:rsidDel="00000000" w:rsidP="00000000" w:rsidRDefault="00000000" w:rsidRPr="00000000" w14:paraId="000000A0">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Dla Haxe konkurentem irygatora nie jest wyłącznie irygator o tym samym designie i cenie. To również marki bardziej dostępne na Allegro, Amazonie, w sklepach RTV/AGD i marketplace’ach. W analizie kampanii warto patrzeć na realne wyniki wyszukiwania, obecność w kanałach i marki najczęściej porównywane przez klientów.</w:t>
      </w:r>
    </w:p>
    <w:p w:rsidR="00000000" w:rsidDel="00000000" w:rsidP="00000000" w:rsidRDefault="00000000" w:rsidRPr="00000000" w14:paraId="000000A1">
      <w:pPr>
        <w:pStyle w:val="Heading1"/>
        <w:spacing w:after="120" w:line="269" w:lineRule="auto"/>
        <w:jc w:val="both"/>
        <w:rPr>
          <w:rFonts w:ascii="Times New Roman" w:cs="Times New Roman" w:eastAsia="Times New Roman" w:hAnsi="Times New Roman"/>
          <w:sz w:val="34"/>
          <w:szCs w:val="34"/>
        </w:rPr>
      </w:pPr>
      <w:bookmarkStart w:colFirst="0" w:colLast="0" w:name="_heading=h.a74i9i2x2e8v" w:id="13"/>
      <w:bookmarkEnd w:id="13"/>
      <w:r w:rsidDel="00000000" w:rsidR="00000000" w:rsidRPr="00000000">
        <w:rPr>
          <w:rFonts w:ascii="Times New Roman" w:cs="Times New Roman" w:eastAsia="Times New Roman" w:hAnsi="Times New Roman"/>
          <w:sz w:val="34"/>
          <w:szCs w:val="34"/>
          <w:rtl w:val="0"/>
        </w:rPr>
        <w:t xml:space="preserve">Zaangażoawanie klientów i ich “lojalność”</w:t>
      </w:r>
    </w:p>
    <w:p w:rsidR="00000000" w:rsidDel="00000000" w:rsidP="00000000" w:rsidRDefault="00000000" w:rsidRPr="00000000" w14:paraId="000000A2">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Rozdział siódmy rozprawia się z mitem pasjonackiej lojalności. Marki takie jak Nike, Apple czy Harley-Davidson bywają przedstawiane jako dowód, że sukces bierze się z głębokiego zaangażowania emocjonalnego klientów. Sharp nie twierdzi, że fani nie istnieją. Twierdzi, że ich liczba i znaczenie sprzedażowe są zwykle przeceniane.</w:t>
      </w:r>
    </w:p>
    <w:p w:rsidR="00000000" w:rsidDel="00000000" w:rsidP="00000000" w:rsidRDefault="00000000" w:rsidRPr="00000000" w14:paraId="000000A3">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Autor pokazuje, że większość klientów to nie wyznawcy marki, ale ludzie o ograniczonej uwadze, którzy kupują w ramach repertuaru. Lojalność jest poligamiczna: klienci mogą preferować markę, ale nadal kupują konkurencję. Nawet marki uznawane za kultowe mają wielu kupujących, którzy nie są fanatykami i nie kupują ich zawsze.</w:t>
      </w:r>
    </w:p>
    <w:p w:rsidR="00000000" w:rsidDel="00000000" w:rsidP="00000000" w:rsidRDefault="00000000" w:rsidRPr="00000000" w14:paraId="000000A4">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Rozdział wyjaśnia też zależność między postawami a zachowaniem. Ludzie mówią więcej pozytywnych rzeczy o markach, których używają. Większe marki mają więcej użytkowników, dlatego uzyskują lepsze wyniki w badaniach wizerunku i postaw. Nie musi to znaczyć, że postawy są przyczyną wielkości – często są jej konsekwencją.</w:t>
      </w:r>
    </w:p>
    <w:p w:rsidR="00000000" w:rsidDel="00000000" w:rsidP="00000000" w:rsidRDefault="00000000" w:rsidRPr="00000000" w14:paraId="000000A5">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Ważny jest wzorzec „I love my mum and you love yours”. Kupujący różnych marek mówią podobnie dobre rzeczy o swoich markach. Użytkownik jednej marki przypisuje jej cechy pozytywne, użytkownik konkurencyjnej robi to samo wobec swojej. To pokazuje, że badania postaw często mierzą używanie i znajomość, a nie głęboką wyjątkowość marki.</w:t>
      </w:r>
    </w:p>
    <w:p w:rsidR="00000000" w:rsidDel="00000000" w:rsidP="00000000" w:rsidRDefault="00000000" w:rsidRPr="00000000" w14:paraId="000000A6">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Sharp krytykuje też stabilność deklaracji postaw. Odpowiedzi respondentów bywają niestabilne na poziomie jednostki, choć stabilne na poziomie marki. To znaczy, że w jednym badaniu ktoś zaznaczy daną cechę, a w kolejnym już nie, mimo że jego ogólny stosunek do marki nie zmienił się fundamentalnie.</w:t>
      </w:r>
    </w:p>
    <w:p w:rsidR="00000000" w:rsidDel="00000000" w:rsidP="00000000" w:rsidRDefault="00000000" w:rsidRPr="00000000" w14:paraId="000000A7">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Ważne pojęcia i definicje</w:t>
      </w:r>
    </w:p>
    <w:tbl>
      <w:tblPr>
        <w:tblStyle w:val="Table11"/>
        <w:tblW w:w="10080.0" w:type="dxa"/>
        <w:jc w:val="center"/>
        <w:tblLayout w:type="fixed"/>
        <w:tblLook w:val="0400"/>
      </w:tblPr>
      <w:tblGrid>
        <w:gridCol w:w="10080"/>
        <w:tblGridChange w:id="0">
          <w:tblGrid>
            <w:gridCol w:w="10080"/>
          </w:tblGrid>
        </w:tblGridChange>
      </w:tblGrid>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A8">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Lojalni zmieniający marki</w:t>
            </w:r>
            <w:r w:rsidDel="00000000" w:rsidR="00000000" w:rsidRPr="00000000">
              <w:rPr>
                <w:rtl w:val="0"/>
              </w:rPr>
            </w:r>
          </w:p>
          <w:p w:rsidR="00000000" w:rsidDel="00000000" w:rsidP="00000000" w:rsidRDefault="00000000" w:rsidRPr="00000000" w14:paraId="000000A9">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Kupujący, którzy wykazują pewną lojalność, ale nadal regularnie kupują kilka marek.</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AA">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Usage drives attitude</w:t>
            </w:r>
            <w:r w:rsidDel="00000000" w:rsidR="00000000" w:rsidRPr="00000000">
              <w:rPr>
                <w:rtl w:val="0"/>
              </w:rPr>
            </w:r>
          </w:p>
          <w:p w:rsidR="00000000" w:rsidDel="00000000" w:rsidP="00000000" w:rsidRDefault="00000000" w:rsidRPr="00000000" w14:paraId="000000AB">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Używanie marki wpływa na to, co ludzie o niej wiedzą i mówią.</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AC">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I love my mum pattern</w:t>
            </w:r>
            <w:r w:rsidDel="00000000" w:rsidR="00000000" w:rsidRPr="00000000">
              <w:rPr>
                <w:rtl w:val="0"/>
              </w:rPr>
            </w:r>
          </w:p>
          <w:p w:rsidR="00000000" w:rsidDel="00000000" w:rsidP="00000000" w:rsidRDefault="00000000" w:rsidRPr="00000000" w14:paraId="000000A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Kupujący różnych marek mają podobnie pozytywne opinie o własnych markach.</w:t>
            </w:r>
          </w:p>
        </w:tc>
      </w:tr>
    </w:tbl>
    <w:p w:rsidR="00000000" w:rsidDel="00000000" w:rsidP="00000000" w:rsidRDefault="00000000" w:rsidRPr="00000000" w14:paraId="000000AE">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zapamiętania</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Większa marka zwykle ma lepsze wyniki postaw, bo ma więcej użytkowników.</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Lojalność nie znika – ale jest normalnym, przewidywalnym zachowaniem, nie magiczną przewagą.</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Badania image/brand health wymagają korekty na efekt używania marki.</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firstLine="0"/>
        <w:jc w:val="left"/>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3">
      <w:pPr>
        <w:pStyle w:val="Heading2"/>
        <w:spacing w:after="40" w:lineRule="auto"/>
        <w:rPr>
          <w:rFonts w:ascii="Times New Roman" w:cs="Times New Roman" w:eastAsia="Times New Roman" w:hAnsi="Times New Roman"/>
          <w:sz w:val="26"/>
          <w:szCs w:val="26"/>
        </w:rPr>
      </w:pPr>
      <w:bookmarkStart w:colFirst="0" w:colLast="0" w:name="_heading=h.su7ypmnjr1zx" w:id="14"/>
      <w:bookmarkEnd w:id="14"/>
      <w:r w:rsidDel="00000000" w:rsidR="00000000" w:rsidRPr="00000000">
        <w:rPr>
          <w:rFonts w:ascii="Times New Roman" w:cs="Times New Roman" w:eastAsia="Times New Roman" w:hAnsi="Times New Roman"/>
          <w:sz w:val="26"/>
          <w:szCs w:val="26"/>
          <w:rtl w:val="0"/>
        </w:rPr>
        <w:t xml:space="preserve">Zastosowanie praktyczne – e-commerce / Haxe</w:t>
      </w:r>
    </w:p>
    <w:p w:rsidR="00000000" w:rsidDel="00000000" w:rsidP="00000000" w:rsidRDefault="00000000" w:rsidRPr="00000000" w14:paraId="000000B4">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Dla Haxe budowanie emocjonalnego języka korzyści jest ważne w reklamie i PDP, ale nie można zakładać, że klienci staną się fanami urządzeń. Lepiej konsekwentnie budować rozpoznawalność, użyteczne skojarzenia i obecność w sytuacjach zakupu niż próbować tworzyć „kult marki” w małej kategorii.</w:t>
      </w:r>
    </w:p>
    <w:p w:rsidR="00000000" w:rsidDel="00000000" w:rsidP="00000000" w:rsidRDefault="00000000" w:rsidRPr="00000000" w14:paraId="000000B5">
      <w:pPr>
        <w:pStyle w:val="Heading1"/>
        <w:spacing w:after="120" w:line="269" w:lineRule="auto"/>
        <w:jc w:val="both"/>
        <w:rPr>
          <w:rFonts w:ascii="Times New Roman" w:cs="Times New Roman" w:eastAsia="Times New Roman" w:hAnsi="Times New Roman"/>
          <w:sz w:val="34"/>
          <w:szCs w:val="34"/>
        </w:rPr>
      </w:pPr>
      <w:bookmarkStart w:colFirst="0" w:colLast="0" w:name="_heading=h.v9zdgw9iblay" w:id="15"/>
      <w:bookmarkEnd w:id="15"/>
      <w:r w:rsidDel="00000000" w:rsidR="00000000" w:rsidRPr="00000000">
        <w:rPr>
          <w:rFonts w:ascii="Times New Roman" w:cs="Times New Roman" w:eastAsia="Times New Roman" w:hAnsi="Times New Roman"/>
          <w:sz w:val="34"/>
          <w:szCs w:val="34"/>
          <w:rtl w:val="0"/>
        </w:rPr>
        <w:t xml:space="preserve">Różnicowanie marki</w:t>
      </w:r>
    </w:p>
    <w:p w:rsidR="00000000" w:rsidDel="00000000" w:rsidP="00000000" w:rsidRDefault="00000000" w:rsidRPr="00000000" w14:paraId="000000B6">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Autor atakuje dogmat „differentiate or die”. Podręczniki marketingu twierdzą, że marka musi mieć znaczącą, postrzeganą różnicę, aby klienci mieli powód ją wybierać. Sharp i Romaniuk pokazują, że realne rynki nie wyglądają jak zbiór silnie odseparowanych marek. Liderzy kategorii często mają wielu bardzo podobnych konkurentów.</w:t>
      </w:r>
    </w:p>
    <w:p w:rsidR="00000000" w:rsidDel="00000000" w:rsidP="00000000" w:rsidRDefault="00000000" w:rsidRPr="00000000" w14:paraId="000000B7">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Nie oznacza to, że marki są identyczne. Istnieją różnice funkcjonalne, cenowe, jakościowe i sytuacyjne. Ale wiele decyzji zakupowych wynika nie z głębokiego przekonania o unikalnej wyższości marki, tylko z tego, że marka jest dostępna, zauważona, znana, w odpowiednim wariancie, w odpowiedniej cenie albo po prostu przychodzi do głowy. Różnicowanie sytuacyjne jest realne i ważne, ale nie musi tworzyć trwałej ideologii marki.</w:t>
      </w:r>
    </w:p>
    <w:p w:rsidR="00000000" w:rsidDel="00000000" w:rsidP="00000000" w:rsidRDefault="00000000" w:rsidRPr="00000000" w14:paraId="000000B8">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Autor wprowadza też pojęcie wyróżnialności, które nie oznacza „bycia lepszym” ani „bycia znacząco innym”. To zdolność marki do bycia łatwo rozpoznaną jako ona sama. Aktywa wyróżniające marki (distinctive assets) to elementy, które pomagają klientowi bez wysiłku przypisać reklamę, opakowanie, kolor, kształt, maskotkę, dźwięk lub styl do konkretnej marki.</w:t>
      </w:r>
    </w:p>
    <w:p w:rsidR="00000000" w:rsidDel="00000000" w:rsidP="00000000" w:rsidRDefault="00000000" w:rsidRPr="00000000" w14:paraId="000000B9">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Najmocniejszy wniosek: branding trwa, różnicowanie często nie. Nawet jeśli innowacja daje przewagę, konkurenci mogą ją skopiować. To, co zostaje, to rozpoznawalność, pamięć, skojarzenia i dostępność. Dlatego marketer powinien badać, które elementy naprawdę są kojarzone z marką, a potem konsekwentnie je używać i chronić.</w:t>
      </w:r>
    </w:p>
    <w:p w:rsidR="00000000" w:rsidDel="00000000" w:rsidP="00000000" w:rsidRDefault="00000000" w:rsidRPr="00000000" w14:paraId="000000BA">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Rozdział ma duże znaczenie dla kreacji reklamowych. Reklama nie powinna być kreatywna w oderwaniu od marki. Jeśli ludzie zapamiętają humor, obraz lub hasło, ale nie przypiszą go do marki, reklama nie buduje aktywa. Distinctiveness jest pomostem między kreatywnością a efektywnością.</w:t>
      </w:r>
    </w:p>
    <w:p w:rsidR="00000000" w:rsidDel="00000000" w:rsidP="00000000" w:rsidRDefault="00000000" w:rsidRPr="00000000" w14:paraId="000000BB">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Ważne pojęcia i definicje</w:t>
      </w:r>
    </w:p>
    <w:tbl>
      <w:tblPr>
        <w:tblStyle w:val="Table12"/>
        <w:tblW w:w="10080.0" w:type="dxa"/>
        <w:jc w:val="center"/>
        <w:tblLayout w:type="fixed"/>
        <w:tblLook w:val="0400"/>
      </w:tblPr>
      <w:tblGrid>
        <w:gridCol w:w="10080"/>
        <w:tblGridChange w:id="0">
          <w:tblGrid>
            <w:gridCol w:w="10080"/>
          </w:tblGrid>
        </w:tblGridChange>
      </w:tblGrid>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BC">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Differentiation</w:t>
            </w:r>
            <w:r w:rsidDel="00000000" w:rsidR="00000000" w:rsidRPr="00000000">
              <w:rPr>
                <w:rtl w:val="0"/>
              </w:rPr>
            </w:r>
          </w:p>
          <w:p w:rsidR="00000000" w:rsidDel="00000000" w:rsidP="00000000" w:rsidRDefault="00000000" w:rsidRPr="00000000" w14:paraId="000000BD">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Postrzegana, znacząca odmienność marki od konkurencji.</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BE">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Distinctiveness</w:t>
            </w:r>
            <w:r w:rsidDel="00000000" w:rsidR="00000000" w:rsidRPr="00000000">
              <w:rPr>
                <w:rtl w:val="0"/>
              </w:rPr>
            </w:r>
          </w:p>
          <w:p w:rsidR="00000000" w:rsidDel="00000000" w:rsidP="00000000" w:rsidRDefault="00000000" w:rsidRPr="00000000" w14:paraId="000000B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Charakterystyczność/wyróżnialność – łatwość rozpoznania marki po jej elementach.</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C0">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Distinctive brand assets</w:t>
            </w:r>
            <w:r w:rsidDel="00000000" w:rsidR="00000000" w:rsidRPr="00000000">
              <w:rPr>
                <w:rtl w:val="0"/>
              </w:rPr>
            </w:r>
          </w:p>
          <w:p w:rsidR="00000000" w:rsidDel="00000000" w:rsidP="00000000" w:rsidRDefault="00000000" w:rsidRPr="00000000" w14:paraId="000000C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Elementy marki takie jak kolor, logo, kształt, opakowanie, dźwięk, bohater, styl, które jednoznacznie uruchamiają pamięć marki.</w:t>
            </w:r>
          </w:p>
        </w:tc>
      </w:tr>
    </w:tbl>
    <w:p w:rsidR="00000000" w:rsidDel="00000000" w:rsidP="00000000" w:rsidRDefault="00000000" w:rsidRPr="00000000" w14:paraId="000000C2">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zapamiętania</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Distinctiveness jest szczególnie ważne w niskiej uwadze – tam, gdzie klient nie analizuje reklamy.</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Nie kopiuj aktywów konkurencji, ale nie uciekaj też od kodów kategorii.</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Najpierw zbadaj aktywa, potem je konsekwentnie wykorzystuj.</w:t>
      </w:r>
      <w:r w:rsidDel="00000000" w:rsidR="00000000" w:rsidRPr="00000000">
        <w:rPr>
          <w:rtl w:val="0"/>
        </w:rPr>
      </w:r>
    </w:p>
    <w:p w:rsidR="00000000" w:rsidDel="00000000" w:rsidP="00000000" w:rsidRDefault="00000000" w:rsidRPr="00000000" w14:paraId="000000C6">
      <w:pPr>
        <w:pStyle w:val="Heading2"/>
        <w:spacing w:after="40" w:lineRule="auto"/>
        <w:rPr>
          <w:rFonts w:ascii="Times New Roman" w:cs="Times New Roman" w:eastAsia="Times New Roman" w:hAnsi="Times New Roman"/>
          <w:sz w:val="26"/>
          <w:szCs w:val="26"/>
        </w:rPr>
      </w:pPr>
      <w:bookmarkStart w:colFirst="0" w:colLast="0" w:name="_heading=h.balymikm0510" w:id="16"/>
      <w:bookmarkEnd w:id="16"/>
      <w:r w:rsidDel="00000000" w:rsidR="00000000" w:rsidRPr="00000000">
        <w:rPr>
          <w:rFonts w:ascii="Times New Roman" w:cs="Times New Roman" w:eastAsia="Times New Roman" w:hAnsi="Times New Roman"/>
          <w:sz w:val="26"/>
          <w:szCs w:val="26"/>
          <w:rtl w:val="0"/>
        </w:rPr>
        <w:t xml:space="preserve">Zastosowanie praktyczne – e-commerce / Haxe</w:t>
      </w:r>
    </w:p>
    <w:p w:rsidR="00000000" w:rsidDel="00000000" w:rsidP="00000000" w:rsidRDefault="00000000" w:rsidRPr="00000000" w14:paraId="000000C7">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Dla Haxe oznacza to konsekwentne używanie logo, nazewnictwa, kolorów serii, stylu packshotów, układu benefitów i tonu komunikacji. Przy grafikach Google Ads nazwa produktu nie musi być największym headline’em, ale reklama musi być wyraźnie brandowana i odróżnialna od anonimowych reklam marketplace.</w:t>
      </w:r>
    </w:p>
    <w:p w:rsidR="00000000" w:rsidDel="00000000" w:rsidP="00000000" w:rsidRDefault="00000000" w:rsidRPr="00000000" w14:paraId="000000C8">
      <w:pPr>
        <w:pStyle w:val="Heading1"/>
        <w:spacing w:after="120" w:line="269" w:lineRule="auto"/>
        <w:jc w:val="both"/>
        <w:rPr>
          <w:rFonts w:ascii="Times New Roman" w:cs="Times New Roman" w:eastAsia="Times New Roman" w:hAnsi="Times New Roman"/>
          <w:sz w:val="34"/>
          <w:szCs w:val="34"/>
        </w:rPr>
      </w:pPr>
      <w:bookmarkStart w:colFirst="0" w:colLast="0" w:name="_heading=h.d3efyxplwjzd" w:id="17"/>
      <w:bookmarkEnd w:id="17"/>
      <w:r w:rsidDel="00000000" w:rsidR="00000000" w:rsidRPr="00000000">
        <w:rPr>
          <w:rFonts w:ascii="Times New Roman" w:cs="Times New Roman" w:eastAsia="Times New Roman" w:hAnsi="Times New Roman"/>
          <w:sz w:val="34"/>
          <w:szCs w:val="34"/>
          <w:rtl w:val="0"/>
        </w:rPr>
        <w:t xml:space="preserve">Jak naprawdę działa reklama?</w:t>
      </w:r>
    </w:p>
    <w:p w:rsidR="00000000" w:rsidDel="00000000" w:rsidP="00000000" w:rsidRDefault="00000000" w:rsidRPr="00000000" w14:paraId="000000C9">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Sharp odchodzi od modelu, w którym reklama przekazuje argument, konsument go rozumie, zmienia postawę i kupuje. Taki model pasuje do wykładu, ale słabo do realnej sytuacji odbiorcy, który jest rozproszony, zajęty i mało zainteresowany reklamą.</w:t>
      </w:r>
    </w:p>
    <w:p w:rsidR="00000000" w:rsidDel="00000000" w:rsidP="00000000" w:rsidRDefault="00000000" w:rsidRPr="00000000" w14:paraId="000000CA">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Reklama działa przede wszystkim wtedy, gdy zostaje zauważona, poprawnie przypisana do marki i odświeża istniejące struktury pamięci. Nie musi przekonywać człowieka od zera. Częściej działa jak przypomnienie: „ta marka istnieje”, „pasuje do tej potrzeby”, „widziałem ją”, „mogę ją rozważyć”. Dlatego branding i aktywa wyróżniające marki są tak ważne.</w:t>
      </w:r>
    </w:p>
    <w:p w:rsidR="00000000" w:rsidDel="00000000" w:rsidP="00000000" w:rsidRDefault="00000000" w:rsidRPr="00000000" w14:paraId="000000CB">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Sharp podkreśla rolę emocji. Emocja nie musi oznaczać głębokiej miłości do marki. Może oznaczać lekkie zainteresowanie, przyjemność, humor, ciepło, zaskoczenie albo prostą łatwość przetwarzania. Emocje pomagają zauważyć reklamę i zapamiętać ją, zwłaszcza gdy odbiorca nie jest racjonalnie zaangażowany.</w:t>
      </w:r>
    </w:p>
    <w:p w:rsidR="00000000" w:rsidDel="00000000" w:rsidP="00000000" w:rsidRDefault="00000000" w:rsidRPr="00000000" w14:paraId="000000CC">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Rozdział krytykuje także kampanie w burstach, po których marka milczy. Kupowanie trwa cały czas, a kupujący marki pojawiają się w różnych momentach. Jeśli reklama ma odświeżać pamięć, długa nieobecność oznacza, że marka wypada z głowy lekkich kupujących. Dlatego Sharp promuje ciągłą, szeroką obecność zamiast krótkich intensywnych zrywów.</w:t>
      </w:r>
    </w:p>
    <w:p w:rsidR="00000000" w:rsidDel="00000000" w:rsidP="00000000" w:rsidRDefault="00000000" w:rsidRPr="00000000" w14:paraId="000000CD">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 praktyce reklama powinna być oceniana nie tylko według tego, czy podoba się marketerowi, ale czy jest zauważalna, jasno brandowana, łatwa do przypisania i zdolna do budowania skojarzeń zakupowych. Reklama bez marki jest jak inwestycja w pamięć konkurencji albo w samą rozrywkę.</w:t>
      </w:r>
    </w:p>
    <w:p w:rsidR="00000000" w:rsidDel="00000000" w:rsidP="00000000" w:rsidRDefault="00000000" w:rsidRPr="00000000" w14:paraId="000000CE">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Ważne pojęcia i definicje</w:t>
      </w:r>
    </w:p>
    <w:tbl>
      <w:tblPr>
        <w:tblStyle w:val="Table13"/>
        <w:tblW w:w="10080.0" w:type="dxa"/>
        <w:jc w:val="center"/>
        <w:tblLayout w:type="fixed"/>
        <w:tblLook w:val="0400"/>
      </w:tblPr>
      <w:tblGrid>
        <w:gridCol w:w="10080"/>
        <w:tblGridChange w:id="0">
          <w:tblGrid>
            <w:gridCol w:w="10080"/>
          </w:tblGrid>
        </w:tblGridChange>
      </w:tblGrid>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CF">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Struktury pamięci</w:t>
            </w:r>
            <w:r w:rsidDel="00000000" w:rsidR="00000000" w:rsidRPr="00000000">
              <w:rPr>
                <w:rtl w:val="0"/>
              </w:rPr>
            </w:r>
          </w:p>
          <w:p w:rsidR="00000000" w:rsidDel="00000000" w:rsidP="00000000" w:rsidRDefault="00000000" w:rsidRPr="00000000" w14:paraId="000000D0">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Połączenia w pamięci odbiorcy między marką, sytuacjami zakupu, potrzebami, kategorią i assetami.</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D1">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Powiązanie reklamy z marką (brand linkage)</w:t>
            </w:r>
            <w:r w:rsidDel="00000000" w:rsidR="00000000" w:rsidRPr="00000000">
              <w:rPr>
                <w:rtl w:val="0"/>
              </w:rPr>
            </w:r>
          </w:p>
          <w:p w:rsidR="00000000" w:rsidDel="00000000" w:rsidP="00000000" w:rsidRDefault="00000000" w:rsidRPr="00000000" w14:paraId="000000D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Poprawne przypisanie reklamy do reklamowanej marki.</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D3">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Ciągła obecność</w:t>
            </w:r>
            <w:r w:rsidDel="00000000" w:rsidR="00000000" w:rsidRPr="00000000">
              <w:rPr>
                <w:rtl w:val="0"/>
              </w:rPr>
            </w:r>
          </w:p>
          <w:p w:rsidR="00000000" w:rsidDel="00000000" w:rsidP="00000000" w:rsidRDefault="00000000" w:rsidRPr="00000000" w14:paraId="000000D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Planowanie reklamy tak, aby marka była regularnie obecna w czasie, a nie tylko w krótkich zrywach.</w:t>
            </w:r>
          </w:p>
        </w:tc>
      </w:tr>
    </w:tbl>
    <w:p w:rsidR="00000000" w:rsidDel="00000000" w:rsidP="00000000" w:rsidRDefault="00000000" w:rsidRPr="00000000" w14:paraId="000000D5">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Zastosowanie praktyczne – e-commerce / Haxe</w:t>
      </w:r>
    </w:p>
    <w:p w:rsidR="00000000" w:rsidDel="00000000" w:rsidP="00000000" w:rsidRDefault="00000000" w:rsidRPr="00000000" w14:paraId="000000D6">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Dla Haxe oznacza to, że reklamy produktowe powinny być natychmiast czytelne: jeden problem lub efekt, wyraźny produkt, aktyw marki i konkretna sytuacja użycia. W kampaniach warto dbać o ciągłość obecności i odświeżanie tych samych skojarzeń: domowa pielęgnacja, wygoda, efekt, bezpieczeństwo, łatwość użycia.</w:t>
      </w:r>
    </w:p>
    <w:p w:rsidR="00000000" w:rsidDel="00000000" w:rsidP="00000000" w:rsidRDefault="00000000" w:rsidRPr="00000000" w14:paraId="000000D7">
      <w:pPr>
        <w:pStyle w:val="Heading1"/>
        <w:spacing w:after="120" w:line="269" w:lineRule="auto"/>
        <w:jc w:val="both"/>
        <w:rPr>
          <w:rFonts w:ascii="Times New Roman" w:cs="Times New Roman" w:eastAsia="Times New Roman" w:hAnsi="Times New Roman"/>
          <w:sz w:val="34"/>
          <w:szCs w:val="34"/>
        </w:rPr>
      </w:pPr>
      <w:bookmarkStart w:colFirst="0" w:colLast="0" w:name="_heading=h.xkprhydh8dkl" w:id="18"/>
      <w:bookmarkEnd w:id="18"/>
      <w:r w:rsidDel="00000000" w:rsidR="00000000" w:rsidRPr="00000000">
        <w:rPr>
          <w:rFonts w:ascii="Times New Roman" w:cs="Times New Roman" w:eastAsia="Times New Roman" w:hAnsi="Times New Roman"/>
          <w:sz w:val="34"/>
          <w:szCs w:val="34"/>
          <w:rtl w:val="0"/>
        </w:rPr>
        <w:t xml:space="preserve">Siła promocji bez emocji</w:t>
      </w:r>
    </w:p>
    <w:p w:rsidR="00000000" w:rsidDel="00000000" w:rsidP="00000000" w:rsidRDefault="00000000" w:rsidRPr="00000000" w14:paraId="000000D8">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 tej kwestii aturo</w:t>
      </w:r>
      <w:r w:rsidDel="00000000" w:rsidR="00000000" w:rsidRPr="00000000">
        <w:rPr>
          <w:rFonts w:ascii="Times New Roman" w:cs="Times New Roman" w:eastAsia="Times New Roman" w:hAnsi="Times New Roman"/>
          <w:sz w:val="22"/>
          <w:szCs w:val="22"/>
          <w:rtl w:val="0"/>
        </w:rPr>
        <w:t xml:space="preserve"> analizuje promocje cenowe bez emocji: one działają natychmiast na sprzedaż, ale efekt zwykle kończy się wraz z promocją. To dlatego marketerzy je lubią – w danych widać pik sprzedaży. Problem polega na tym, że pik nie jest tym samym co trwały wzrost marki.</w:t>
      </w:r>
    </w:p>
    <w:p w:rsidR="00000000" w:rsidDel="00000000" w:rsidP="00000000" w:rsidRDefault="00000000" w:rsidRPr="00000000" w14:paraId="000000D9">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Promocje najczęściej przyciągają obecnych i okazjonalnych kupujących markę albo osoby, które kupują repertuar marek w kategorii. Nie muszą tworzyć nowych lojalnych klientów. Część sprzedaży jest przesunięta w czasie: klient kupuje wcześniej lub robi zapas. Część sprzedaży jest kanibalizacją marży: marka sprzedaje taniej ludziom, którzy kupiliby ją także bez obniżki.</w:t>
      </w:r>
    </w:p>
    <w:p w:rsidR="00000000" w:rsidDel="00000000" w:rsidP="00000000" w:rsidRDefault="00000000" w:rsidRPr="00000000" w14:paraId="000000DA">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Sharp i współautorzy pokazują, że kupujący przechodzą między poziomami cenowymi bardziej płynnie niż sugeruje mit „low price buyer” i „premium buyer”. W wielu kategoriach ludzie kupują różne marki w różnych cenach zależnie od sytuacji, promocji, dostępności i potrzeb. Segment „kupujących tylko tanio” jest często mniej stabilny, niż zakładają promocje.</w:t>
      </w:r>
    </w:p>
    <w:p w:rsidR="00000000" w:rsidDel="00000000" w:rsidP="00000000" w:rsidRDefault="00000000" w:rsidRPr="00000000" w14:paraId="000000DB">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Długoterminowe ryzyko promocji polega na uczeniu klientów kupowania tylko na rabacie. Jeśli marka regularnie obniża cenę, konsumenci mogą czekać na promocję, a normalna cena zaczyna wyglądać jak coś, czego nie warto płacić. Promocje mogą też pochłaniać budżet, który mógłby budować mentalną i fizyczną dostępność.</w:t>
      </w:r>
    </w:p>
    <w:p w:rsidR="00000000" w:rsidDel="00000000" w:rsidP="00000000" w:rsidRDefault="00000000" w:rsidRPr="00000000" w14:paraId="000000DC">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Nie oznacza to, że promocji nie wolno stosować. Oznacza, że trzeba znać ich prawdziwą rolę. Promocja to narzędzie krótkoterminowej aktywacji sprzedaży, rotacji zapasów, obrony półki lub wejścia w okazję zakupową – nie główny mechanizm budowania marki.</w:t>
      </w:r>
    </w:p>
    <w:p w:rsidR="00000000" w:rsidDel="00000000" w:rsidP="00000000" w:rsidRDefault="00000000" w:rsidRPr="00000000" w14:paraId="000000DD">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Ważne pojęcia i definicje</w:t>
      </w:r>
    </w:p>
    <w:tbl>
      <w:tblPr>
        <w:tblStyle w:val="Table14"/>
        <w:tblW w:w="10080.0" w:type="dxa"/>
        <w:jc w:val="center"/>
        <w:tblLayout w:type="fixed"/>
        <w:tblLook w:val="0400"/>
      </w:tblPr>
      <w:tblGrid>
        <w:gridCol w:w="10080"/>
        <w:tblGridChange w:id="0">
          <w:tblGrid>
            <w:gridCol w:w="10080"/>
          </w:tblGrid>
        </w:tblGridChange>
      </w:tblGrid>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DE">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Promocja cenowa (price promotion)</w:t>
            </w:r>
            <w:r w:rsidDel="00000000" w:rsidR="00000000" w:rsidRPr="00000000">
              <w:rPr>
                <w:rtl w:val="0"/>
              </w:rPr>
            </w:r>
          </w:p>
          <w:p w:rsidR="00000000" w:rsidDel="00000000" w:rsidP="00000000" w:rsidRDefault="00000000" w:rsidRPr="00000000" w14:paraId="000000DF">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Tymczasowe obniżenie ceny lub dodatkowa korzyść cenowa, która zwiększa atrakcyjność zakupu w krótkim okresie.</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E0">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Zakup na zapas / przesunięcie zakupu (forward buying)</w:t>
            </w:r>
            <w:r w:rsidDel="00000000" w:rsidR="00000000" w:rsidRPr="00000000">
              <w:rPr>
                <w:rtl w:val="0"/>
              </w:rPr>
            </w:r>
          </w:p>
          <w:p w:rsidR="00000000" w:rsidDel="00000000" w:rsidP="00000000" w:rsidRDefault="00000000" w:rsidRPr="00000000" w14:paraId="000000E1">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Przesunięcie zakupu w czasie – klient kupuje wcześniej lub robi zapas z powodu promocji.</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E2">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Skłonność do okazji cenowych (deal-proneness)</w:t>
            </w:r>
            <w:r w:rsidDel="00000000" w:rsidR="00000000" w:rsidRPr="00000000">
              <w:rPr>
                <w:rtl w:val="0"/>
              </w:rPr>
            </w:r>
          </w:p>
          <w:p w:rsidR="00000000" w:rsidDel="00000000" w:rsidP="00000000" w:rsidRDefault="00000000" w:rsidRPr="00000000" w14:paraId="000000E3">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Skłonność do reagowania na okazje cenowe, często mniej stała niż zakładają marketerzy.</w:t>
            </w:r>
          </w:p>
        </w:tc>
      </w:tr>
    </w:tbl>
    <w:p w:rsidR="00000000" w:rsidDel="00000000" w:rsidP="00000000" w:rsidRDefault="00000000" w:rsidRPr="00000000" w14:paraId="000000E4">
      <w:pPr>
        <w:pStyle w:val="Heading2"/>
        <w:rPr>
          <w:rFonts w:ascii="Times New Roman" w:cs="Times New Roman" w:eastAsia="Times New Roman" w:hAnsi="Times New Roman"/>
          <w:sz w:val="26"/>
          <w:szCs w:val="26"/>
        </w:rPr>
      </w:pPr>
      <w:bookmarkStart w:colFirst="0" w:colLast="0" w:name="_heading=h.xnu3f6kbldqq" w:id="19"/>
      <w:bookmarkEnd w:id="19"/>
      <w:r w:rsidDel="00000000" w:rsidR="00000000" w:rsidRPr="00000000">
        <w:rPr>
          <w:rFonts w:ascii="Times New Roman" w:cs="Times New Roman" w:eastAsia="Times New Roman" w:hAnsi="Times New Roman"/>
          <w:sz w:val="26"/>
          <w:szCs w:val="26"/>
          <w:rtl w:val="0"/>
        </w:rPr>
        <w:t xml:space="preserve">Do zapamiętania</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Promocje są łatwe do zmierzenia, dlatego bywają przeceniane.</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Promocja bez kontroli marży może zwiększyć sprzedaż, ale obniżyć zysk.</w:t>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Częste rabaty mogą osłabić percepcję ceny regularnej.</w:t>
      </w:r>
      <w:r w:rsidDel="00000000" w:rsidR="00000000" w:rsidRPr="00000000">
        <w:rPr>
          <w:rtl w:val="0"/>
        </w:rPr>
      </w:r>
    </w:p>
    <w:p w:rsidR="00000000" w:rsidDel="00000000" w:rsidP="00000000" w:rsidRDefault="00000000" w:rsidRPr="00000000" w14:paraId="000000E8">
      <w:pPr>
        <w:pStyle w:val="Heading2"/>
        <w:spacing w:after="40" w:lineRule="auto"/>
        <w:rPr>
          <w:rFonts w:ascii="Times New Roman" w:cs="Times New Roman" w:eastAsia="Times New Roman" w:hAnsi="Times New Roman"/>
          <w:sz w:val="26"/>
          <w:szCs w:val="26"/>
        </w:rPr>
      </w:pPr>
      <w:bookmarkStart w:colFirst="0" w:colLast="0" w:name="_heading=h.bakkwlrmqjh7" w:id="20"/>
      <w:bookmarkEnd w:id="20"/>
      <w:r w:rsidDel="00000000" w:rsidR="00000000" w:rsidRPr="00000000">
        <w:rPr>
          <w:rFonts w:ascii="Times New Roman" w:cs="Times New Roman" w:eastAsia="Times New Roman" w:hAnsi="Times New Roman"/>
          <w:sz w:val="26"/>
          <w:szCs w:val="26"/>
          <w:rtl w:val="0"/>
        </w:rPr>
        <w:t xml:space="preserve">Zastosowanie praktyczne – e-commerce / Haxe</w:t>
      </w:r>
    </w:p>
    <w:p w:rsidR="00000000" w:rsidDel="00000000" w:rsidP="00000000" w:rsidRDefault="00000000" w:rsidRPr="00000000" w14:paraId="000000E9">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Dla Haxe promocje powinny mieć określoną rolę: domknięcie decyzji, sezonowość, Black Friday, zestawy lub wejście nowości. Nie powinny zastępować komunikacji wartości produktu. Przy urządzeniach takich jak IPL czy irygator ważne jest, aby rabat nie był jedynym powodem zakupu – reklama musi nadal budować efekt, mechanizm i zaufanie.</w:t>
      </w:r>
    </w:p>
    <w:p w:rsidR="00000000" w:rsidDel="00000000" w:rsidP="00000000" w:rsidRDefault="00000000" w:rsidRPr="00000000" w14:paraId="000000EA">
      <w:pPr>
        <w:pStyle w:val="Heading1"/>
        <w:rPr>
          <w:rFonts w:ascii="Times New Roman" w:cs="Times New Roman" w:eastAsia="Times New Roman" w:hAnsi="Times New Roman"/>
          <w:sz w:val="34"/>
          <w:szCs w:val="34"/>
        </w:rPr>
      </w:pPr>
      <w:bookmarkStart w:colFirst="0" w:colLast="0" w:name="_heading=h.mvll25mzzmvh" w:id="21"/>
      <w:bookmarkEnd w:id="21"/>
      <w:r w:rsidDel="00000000" w:rsidR="00000000" w:rsidRPr="00000000">
        <w:rPr>
          <w:rFonts w:ascii="Times New Roman" w:cs="Times New Roman" w:eastAsia="Times New Roman" w:hAnsi="Times New Roman"/>
          <w:sz w:val="34"/>
          <w:szCs w:val="34"/>
          <w:rtl w:val="0"/>
        </w:rPr>
        <w:t xml:space="preserve">Programy lojalnościowe nie działają</w:t>
      </w:r>
    </w:p>
    <w:p w:rsidR="00000000" w:rsidDel="00000000" w:rsidP="00000000" w:rsidRDefault="00000000" w:rsidRPr="00000000" w14:paraId="000000EB">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Kolejną kwestionowaną rzeczą jest  popularność programów lojalnościowych. Ich nazwa sugeruje, że tworzą lojalność, ale Sharp pokazuje, że często tylko rejestrują i nagradzają istniejące zakupy. Jeśli klient i tak kupiłby markę, punkty lub rabaty stają się kosztem, nie źródłem wzrostu.</w:t>
      </w:r>
    </w:p>
    <w:p w:rsidR="00000000" w:rsidDel="00000000" w:rsidP="00000000" w:rsidRDefault="00000000" w:rsidRPr="00000000" w14:paraId="000000EC">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Programy lojalnościowe są szczególnie atrakcyjne dla marketerów, bo dają poczucie kontroli, dane i widoczną mechanikę. Problem polega na tym, że konkurencja może je łatwo kopiować, a konsumenci mogą należeć do wielu programów jednocześnie. Wtedy program nie tworzy wyłączności, tylko staje się kolejnym elementem repertuaru.</w:t>
      </w:r>
    </w:p>
    <w:p w:rsidR="00000000" w:rsidDel="00000000" w:rsidP="00000000" w:rsidRDefault="00000000" w:rsidRPr="00000000" w14:paraId="000000ED">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Sharp nie mówi, że programy nigdy nie mają sensu. Mogą zbierać dane, wspierać dystrybucję, poprawiać doświadczenie, ograniczać tarcie w zakupie lub dawać korzyści operacyjne. Ale jako narzędzie radykalnej zmiany lojalności są przeceniane. Ich efekty są zwykle małe i trudne do odróżnienia od naturalnych praw lojalności.</w:t>
      </w:r>
    </w:p>
    <w:p w:rsidR="00000000" w:rsidDel="00000000" w:rsidP="00000000" w:rsidRDefault="00000000" w:rsidRPr="00000000" w14:paraId="000000EE">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Najważniejszy błąd to inwestowanie nieproporcjonalnie dużo w obecnych, najcięższych klientów. Tacy klienci są widoczni w bazie, ale niekoniecznie mają największy potencjał zmiany. Często kupują już tyle, ile realnie potrzebują. Program może więc dawać nagrodę za przeszłą wartość, zamiast tworzyć przyszłą.</w:t>
      </w:r>
    </w:p>
    <w:p w:rsidR="00000000" w:rsidDel="00000000" w:rsidP="00000000" w:rsidRDefault="00000000" w:rsidRPr="00000000" w14:paraId="000000EF">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Rozdział wpisuje się w większą logikę książki: jeśli wzrost pochodzi z penetracji, to narzędzia zamykające markę w istniejącej bazie mają ograniczony potencjał. Marka nadal musi szeroko docierać do lekkich i nowych kupujących.</w:t>
      </w:r>
    </w:p>
    <w:p w:rsidR="00000000" w:rsidDel="00000000" w:rsidP="00000000" w:rsidRDefault="00000000" w:rsidRPr="00000000" w14:paraId="000000F0">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Ważne pojęcia i definicje</w:t>
      </w:r>
    </w:p>
    <w:tbl>
      <w:tblPr>
        <w:tblStyle w:val="Table15"/>
        <w:tblW w:w="10080.0" w:type="dxa"/>
        <w:jc w:val="center"/>
        <w:tblLayout w:type="fixed"/>
        <w:tblLook w:val="0400"/>
      </w:tblPr>
      <w:tblGrid>
        <w:gridCol w:w="10080"/>
        <w:tblGridChange w:id="0">
          <w:tblGrid>
            <w:gridCol w:w="10080"/>
          </w:tblGrid>
        </w:tblGridChange>
      </w:tblGrid>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F1">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Program lojalnościowy</w:t>
            </w:r>
            <w:r w:rsidDel="00000000" w:rsidR="00000000" w:rsidRPr="00000000">
              <w:rPr>
                <w:rtl w:val="0"/>
              </w:rPr>
            </w:r>
          </w:p>
          <w:p w:rsidR="00000000" w:rsidDel="00000000" w:rsidP="00000000" w:rsidRDefault="00000000" w:rsidRPr="00000000" w14:paraId="000000F2">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Mechanizm nagradzania powtarzalnych zakupów, najczęściej punktami, rabatami lub benefitami.</w:t>
            </w:r>
          </w:p>
        </w:tc>
      </w:tr>
      <w:tr>
        <w:trPr>
          <w:cantSplit w:val="0"/>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0F3">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Nagradzanie zachowania bazowego</w:t>
            </w:r>
            <w:r w:rsidDel="00000000" w:rsidR="00000000" w:rsidRPr="00000000">
              <w:rPr>
                <w:rtl w:val="0"/>
              </w:rPr>
            </w:r>
          </w:p>
          <w:p w:rsidR="00000000" w:rsidDel="00000000" w:rsidP="00000000" w:rsidRDefault="00000000" w:rsidRPr="00000000" w14:paraId="000000F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Sytuacja, gdy firma płaci klientowi za zakupy, które i tak by zrobił.</w:t>
            </w:r>
          </w:p>
        </w:tc>
      </w:tr>
    </w:tbl>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5b9bd5"/>
          <w:sz w:val="26"/>
          <w:szCs w:val="26"/>
        </w:rPr>
      </w:pPr>
      <w:r w:rsidDel="00000000" w:rsidR="00000000" w:rsidRPr="00000000">
        <w:rPr>
          <w:rFonts w:ascii="Times New Roman" w:cs="Times New Roman" w:eastAsia="Times New Roman" w:hAnsi="Times New Roman"/>
          <w:b w:val="1"/>
          <w:bCs w:val="1"/>
          <w:color w:val="5b9bd5"/>
          <w:sz w:val="26"/>
          <w:szCs w:val="26"/>
          <w:rtl w:val="0"/>
        </w:rPr>
        <w:t xml:space="preserve">Do zapamiętania</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Program lojalnościowy może mieć sens operacyjny, ale nie powinien być główną strategią wzrostu.</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Uczestnictwo w programie nie oznacza wyłącznej lojalności.</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Dane z programu pokazują tylko część rynku – głównie ludzi, którzy już kupują.</w:t>
      </w:r>
      <w:r w:rsidDel="00000000" w:rsidR="00000000" w:rsidRPr="00000000">
        <w:rPr>
          <w:rFonts w:ascii="Times New Roman" w:cs="Times New Roman" w:eastAsia="Times New Roman" w:hAnsi="Times New Roman"/>
          <w:sz w:val="22"/>
          <w:szCs w:val="22"/>
          <w:rtl w:val="0"/>
        </w:rPr>
        <w:t xml:space="preserve">Zastosowanie praktyczne – e-commerce / Haxe</w:t>
      </w:r>
    </w:p>
    <w:p w:rsidR="00000000" w:rsidDel="00000000" w:rsidP="00000000" w:rsidRDefault="00000000" w:rsidRPr="00000000" w14:paraId="000000F9">
      <w:pPr>
        <w:pStyle w:val="Heading2"/>
        <w:spacing w:after="40" w:lineRule="auto"/>
        <w:rPr>
          <w:rFonts w:ascii="Times New Roman" w:cs="Times New Roman" w:eastAsia="Times New Roman" w:hAnsi="Times New Roman"/>
          <w:sz w:val="26"/>
          <w:szCs w:val="26"/>
        </w:rPr>
      </w:pPr>
      <w:bookmarkStart w:colFirst="0" w:colLast="0" w:name="_heading=h.6svi0ylxlk92" w:id="22"/>
      <w:bookmarkEnd w:id="22"/>
      <w:r w:rsidDel="00000000" w:rsidR="00000000" w:rsidRPr="00000000">
        <w:rPr>
          <w:rFonts w:ascii="Times New Roman" w:cs="Times New Roman" w:eastAsia="Times New Roman" w:hAnsi="Times New Roman"/>
          <w:sz w:val="26"/>
          <w:szCs w:val="26"/>
          <w:rtl w:val="0"/>
        </w:rPr>
        <w:t xml:space="preserve">Zastosowanie praktyczne – e-commerce / Haxe</w:t>
      </w:r>
    </w:p>
    <w:p w:rsidR="00000000" w:rsidDel="00000000" w:rsidP="00000000" w:rsidRDefault="00000000" w:rsidRPr="00000000" w14:paraId="000000FA">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Dla Haxe program posprzedażowy może wspierać końcówki, akcesoria, gwarancję czy edukację użycia, ale nie zastąpi akwizycji. Warto budować newsletter i bazę klientów, lecz wzrost sprzedaży nowych urządzeń powinien pochodzić z szerokiego dotarcia do rynku.</w:t>
      </w:r>
    </w:p>
    <w:p w:rsidR="00000000" w:rsidDel="00000000" w:rsidP="00000000" w:rsidRDefault="00000000" w:rsidRPr="00000000" w14:paraId="000000FB">
      <w:pPr>
        <w:pStyle w:val="Heading1"/>
        <w:spacing w:after="120" w:line="269" w:lineRule="auto"/>
        <w:jc w:val="both"/>
        <w:rPr>
          <w:rFonts w:ascii="Times New Roman" w:cs="Times New Roman" w:eastAsia="Times New Roman" w:hAnsi="Times New Roman"/>
          <w:sz w:val="34"/>
          <w:szCs w:val="34"/>
        </w:rPr>
      </w:pPr>
      <w:bookmarkStart w:colFirst="0" w:colLast="0" w:name="_heading=h.p9giazlg68a1" w:id="23"/>
      <w:bookmarkEnd w:id="23"/>
      <w:r w:rsidDel="00000000" w:rsidR="00000000" w:rsidRPr="00000000">
        <w:rPr>
          <w:rFonts w:ascii="Times New Roman" w:cs="Times New Roman" w:eastAsia="Times New Roman" w:hAnsi="Times New Roman"/>
          <w:sz w:val="34"/>
          <w:szCs w:val="34"/>
          <w:rtl w:val="0"/>
        </w:rPr>
        <w:t xml:space="preserve">Dostępność mentalna a dostępność fizyczna</w:t>
      </w:r>
    </w:p>
    <w:p w:rsidR="00000000" w:rsidDel="00000000" w:rsidP="00000000" w:rsidRDefault="00000000" w:rsidRPr="00000000" w14:paraId="000000FC">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Sharp łączy wcześniejsze prawa w jeden cel: budować mentalną i fizyczną dostępność. Marka rośnie, gdy więcej ludzi w większej liczbie sytuacji może o niej pomyśleć i łatwo ją kupić. Wszystko inne – reklama, innowacje, opakowanie, promocje, portfolio – powinno być oceniane przez ten filtr.</w:t>
      </w:r>
    </w:p>
    <w:p w:rsidR="00000000" w:rsidDel="00000000" w:rsidP="00000000" w:rsidRDefault="00000000" w:rsidRPr="00000000" w14:paraId="000000FD">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Dostępność mentalna oznacza, że marka przychodzi do głowy w momentach zakupu. Nie chodzi tylko o świadomość spontaniczną w badaniu. Chodzi o sieć skojarzeń z punktami wejścia do kategorii: sytuacjami, potrzebami, problemami, okazjami, miejscami i emocjami, które uruchamiają zakup. Im więcej takich połączeń ma marka, tym większa szansa, że zostanie rozważona.</w:t>
      </w:r>
    </w:p>
    <w:p w:rsidR="00000000" w:rsidDel="00000000" w:rsidP="00000000" w:rsidRDefault="00000000" w:rsidRPr="00000000" w14:paraId="000000FE">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Budowanie dostępności mentalnej wymaga zasięgu. Nie wystarczy mówić do obecnych klientów, bo wielu kupujących kategorię kupuje markę rzadko albo wcale. Reklama powinna regularnie docierać do szerokiej populacji kupujących i używać aktywów wyróżniających marki, aby odbiorca łatwo przypisał komunikat do marki. Każda kreacja powinna odświeżać lub budować użyteczne struktury pamięci.</w:t>
      </w:r>
    </w:p>
    <w:p w:rsidR="00000000" w:rsidDel="00000000" w:rsidP="00000000" w:rsidRDefault="00000000" w:rsidRPr="00000000" w14:paraId="000000FF">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Dostępność fizyczna oznacza, że produkt jest łatwy do znalezienia i kupienia. Dotyczy dystrybucji, obecności w kanałach, wariantów, półki, wyszukiwarki, dostępności stocku, ceny, opakowania i wygody transakcji. Nawet silna reklama ma ograniczony efekt, jeśli klient nie może kupić produktu tam, gdzie akurat szuka.</w:t>
      </w:r>
    </w:p>
    <w:p w:rsidR="00000000" w:rsidDel="00000000" w:rsidP="00000000" w:rsidRDefault="00000000" w:rsidRPr="00000000" w14:paraId="00000100">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Sharp pokazuje, że innowacja działa najlepiej wtedy, gdy zwiększa dostępność mentalną lub fizyczną. Nowy wariant, format, kanał, rozmiar czy zastosowanie ma sens, jeśli zwiększa liczbę okazji, w których marka może zostać zauważona i kupiona. Innowacja dla samej innowacji nie jest celem.</w:t>
      </w:r>
    </w:p>
    <w:p w:rsidR="00000000" w:rsidDel="00000000" w:rsidP="00000000" w:rsidRDefault="00000000" w:rsidRPr="00000000" w14:paraId="00000101">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Rozdział prowadzi też do zasad planowania mediów i dystrybucji. Media powinny zapewniać szeroki, efektywny zasięg i regularną obecność, a dystrybucja powinna minimalizować sytuacje, w których klient chce kupić, ale marka nie jest dostępna. Marketer ma więc pracować nad dwoma równoległymi aktywami: pamięcią i dostępnością.</w:t>
      </w:r>
    </w:p>
    <w:p w:rsidR="00000000" w:rsidDel="00000000" w:rsidP="00000000" w:rsidRDefault="00000000" w:rsidRPr="00000000" w14:paraId="00000102">
      <w:pPr>
        <w:pStyle w:val="Heading2"/>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Ważne pojęcia i definicje</w:t>
      </w:r>
    </w:p>
    <w:tbl>
      <w:tblPr>
        <w:tblStyle w:val="Table16"/>
        <w:tblW w:w="10080.0" w:type="dxa"/>
        <w:jc w:val="center"/>
        <w:tblLayout w:type="fixed"/>
        <w:tblLook w:val="0400"/>
      </w:tblPr>
      <w:tblGrid>
        <w:gridCol w:w="10080"/>
        <w:tblGridChange w:id="0">
          <w:tblGrid>
            <w:gridCol w:w="10080"/>
          </w:tblGrid>
        </w:tblGridChange>
      </w:tblGrid>
      <w:tr>
        <w:trPr>
          <w:cantSplit w:val="0"/>
          <w:trHeight w:val="645.2734375" w:hRule="atLeast"/>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103">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Punkty wejścia do kategorii (Category Entry Points)</w:t>
            </w:r>
            <w:r w:rsidDel="00000000" w:rsidR="00000000" w:rsidRPr="00000000">
              <w:rPr>
                <w:rtl w:val="0"/>
              </w:rPr>
            </w:r>
          </w:p>
          <w:p w:rsidR="00000000" w:rsidDel="00000000" w:rsidP="00000000" w:rsidRDefault="00000000" w:rsidRPr="00000000" w14:paraId="00000104">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Sytuacje, potrzeby, okazje i konteksty, które sprawiają, że klient wchodzi w kategorię i może pomyśleć o marce.</w:t>
            </w:r>
          </w:p>
        </w:tc>
      </w:tr>
      <w:tr>
        <w:trPr>
          <w:cantSplit w:val="0"/>
          <w:trHeight w:val="645.2734375" w:hRule="atLeast"/>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105">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Dostępność mentalna</w:t>
            </w:r>
            <w:r w:rsidDel="00000000" w:rsidR="00000000" w:rsidRPr="00000000">
              <w:rPr>
                <w:rtl w:val="0"/>
              </w:rPr>
            </w:r>
          </w:p>
          <w:p w:rsidR="00000000" w:rsidDel="00000000" w:rsidP="00000000" w:rsidRDefault="00000000" w:rsidRPr="00000000" w14:paraId="00000106">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Łatwość przywołania marki w wielu momentach zakupowych.</w:t>
            </w:r>
          </w:p>
        </w:tc>
      </w:tr>
      <w:tr>
        <w:trPr>
          <w:cantSplit w:val="0"/>
          <w:trHeight w:val="645.2734375" w:hRule="atLeast"/>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107">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Dostępność fizyczna</w:t>
            </w:r>
            <w:r w:rsidDel="00000000" w:rsidR="00000000" w:rsidRPr="00000000">
              <w:rPr>
                <w:rtl w:val="0"/>
              </w:rPr>
            </w:r>
          </w:p>
          <w:p w:rsidR="00000000" w:rsidDel="00000000" w:rsidP="00000000" w:rsidRDefault="00000000" w:rsidRPr="00000000" w14:paraId="00000108">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Łatwość kupienia marki w wielu miejscach, kanałach, formatach i sytuacjach.</w:t>
            </w:r>
          </w:p>
        </w:tc>
      </w:tr>
      <w:tr>
        <w:trPr>
          <w:cantSplit w:val="0"/>
          <w:trHeight w:val="645.2734375" w:hRule="atLeast"/>
          <w:tblHeader w:val="0"/>
        </w:trPr>
        <w:tc>
          <w:tcPr>
            <w:tcBorders>
              <w:top w:color="808080" w:space="0" w:sz="8" w:val="single"/>
              <w:left w:color="808080" w:space="0" w:sz="8" w:val="single"/>
              <w:bottom w:color="808080" w:space="0" w:sz="8" w:val="single"/>
              <w:right w:color="808080" w:space="0" w:sz="8" w:val="single"/>
            </w:tcBorders>
            <w:shd w:fill="f2f2f2" w:val="clear"/>
          </w:tcPr>
          <w:p w:rsidR="00000000" w:rsidDel="00000000" w:rsidP="00000000" w:rsidRDefault="00000000" w:rsidRPr="00000000" w14:paraId="00000109">
            <w:pPr>
              <w:spacing w:after="8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1f4e79"/>
                <w:sz w:val="22"/>
                <w:szCs w:val="22"/>
                <w:rtl w:val="0"/>
              </w:rPr>
              <w:t xml:space="preserve">Aktywa wyróżniające marki (distinctive assets)</w:t>
            </w:r>
            <w:r w:rsidDel="00000000" w:rsidR="00000000" w:rsidRPr="00000000">
              <w:rPr>
                <w:rtl w:val="0"/>
              </w:rPr>
            </w:r>
          </w:p>
          <w:p w:rsidR="00000000" w:rsidDel="00000000" w:rsidP="00000000" w:rsidRDefault="00000000" w:rsidRPr="00000000" w14:paraId="0000010A">
            <w:pPr>
              <w:spacing w:after="0" w:before="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Elementy, które pomagają ludziom rozpoznać markę i przypisać komunikat do niej.</w:t>
            </w:r>
          </w:p>
        </w:tc>
      </w:tr>
    </w:tbl>
    <w:p w:rsidR="00000000" w:rsidDel="00000000" w:rsidP="00000000" w:rsidRDefault="00000000" w:rsidRPr="00000000" w14:paraId="0000010B">
      <w:pPr>
        <w:pStyle w:val="Heading2"/>
        <w:rPr>
          <w:rFonts w:ascii="Times New Roman" w:cs="Times New Roman" w:eastAsia="Times New Roman" w:hAnsi="Times New Roman"/>
          <w:sz w:val="26"/>
          <w:szCs w:val="26"/>
        </w:rPr>
      </w:pPr>
      <w:bookmarkStart w:colFirst="0" w:colLast="0" w:name="_heading=h.cwbp4b4xjqbi" w:id="24"/>
      <w:bookmarkEnd w:id="24"/>
      <w:r w:rsidDel="00000000" w:rsidR="00000000" w:rsidRPr="00000000">
        <w:rPr>
          <w:rFonts w:ascii="Times New Roman" w:cs="Times New Roman" w:eastAsia="Times New Roman" w:hAnsi="Times New Roman"/>
          <w:sz w:val="26"/>
          <w:szCs w:val="26"/>
          <w:rtl w:val="0"/>
        </w:rPr>
        <w:t xml:space="preserve">Do zapamiętania</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w:t>
      </w:r>
      <w:r w:rsidDel="00000000" w:rsidR="00000000" w:rsidRPr="00000000">
        <w:rPr>
          <w:rFonts w:ascii="Times New Roman" w:cs="Times New Roman" w:eastAsia="Times New Roman" w:hAnsi="Times New Roman"/>
          <w:sz w:val="22"/>
          <w:szCs w:val="22"/>
          <w:rtl w:val="0"/>
        </w:rPr>
        <w:t xml:space="preserve">o</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stępność mentalna bez dostępność fizyczna tworzy niewykorzystany popyt.</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Dostępność fizyczna bez dostępność mentalna zostawia markę na półce, ale nie w głowie klienta.</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 praktyce marka walczy o „bycie pomyślaną” w mało ważnych, szybkich decyzjach życia codziennego.</w:t>
      </w:r>
      <w:r w:rsidDel="00000000" w:rsidR="00000000" w:rsidRPr="00000000">
        <w:rPr>
          <w:rtl w:val="0"/>
        </w:rPr>
      </w:r>
    </w:p>
    <w:p w:rsidR="00000000" w:rsidDel="00000000" w:rsidP="00000000" w:rsidRDefault="00000000" w:rsidRPr="00000000" w14:paraId="0000010F">
      <w:pPr>
        <w:pStyle w:val="Heading2"/>
        <w:spacing w:after="40" w:lineRule="auto"/>
        <w:rPr>
          <w:rFonts w:ascii="Times New Roman" w:cs="Times New Roman" w:eastAsia="Times New Roman" w:hAnsi="Times New Roman"/>
          <w:sz w:val="26"/>
          <w:szCs w:val="26"/>
        </w:rPr>
      </w:pPr>
      <w:bookmarkStart w:colFirst="0" w:colLast="0" w:name="_heading=h.l4e2fq5b3bhl" w:id="25"/>
      <w:bookmarkEnd w:id="25"/>
      <w:r w:rsidDel="00000000" w:rsidR="00000000" w:rsidRPr="00000000">
        <w:rPr>
          <w:rFonts w:ascii="Times New Roman" w:cs="Times New Roman" w:eastAsia="Times New Roman" w:hAnsi="Times New Roman"/>
          <w:sz w:val="26"/>
          <w:szCs w:val="26"/>
          <w:rtl w:val="0"/>
        </w:rPr>
        <w:t xml:space="preserve">Zastosowanie praktyczne – e-commerce / Haxe</w:t>
      </w:r>
    </w:p>
    <w:p w:rsidR="00000000" w:rsidDel="00000000" w:rsidP="00000000" w:rsidRDefault="00000000" w:rsidRPr="00000000" w14:paraId="00000110">
      <w:pPr>
        <w:spacing w:after="120" w:line="269"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Dla Haxe ten rozdział można przełożyć na checklistę: czy produkt jest obecny w kanałach, gdzie klient szuka? Czy reklamy budują konkretne CEP, np. „aparat ortodontyczny i trudne czyszczenie”, „domowa depilacja bez salonu”, „dziecko nie chce myć zębów”, „prezent beauty”? Czy packshot, nazwa i benefit są rozpoznawalne? Czy kampanie mają zasięg poza remarketing? Czy produkt jest dostępny cenowo, logistycznie i wariantowo wtedy, gdy klient chce kupić</w:t>
      </w:r>
      <w:r w:rsidDel="00000000" w:rsidR="00000000" w:rsidRPr="00000000">
        <w:rPr>
          <w:rtl w:val="0"/>
        </w:rPr>
      </w:r>
    </w:p>
    <w:sectPr>
      <w:footerReference r:id="rId7" w:type="default"/>
      <w:pgSz w:h="15840" w:w="12240" w:orient="portrait"/>
      <w:pgMar w:bottom="936"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aOEgQrF4CQ4zNryyEGgwbtpd8g==">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