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b/>
          <w:color w:val="16324F"/>
          <w:sz w:val="56"/>
        </w:rPr>
        <w:t>Dictionnaire de variables</w:t>
      </w:r>
    </w:p>
    <w:p>
      <w:r>
        <w:rPr>
          <w:b/>
          <w:color w:val="E86A17"/>
          <w:sz w:val="30"/>
        </w:rPr>
        <w:t>MoveUp — Projet SalesOps</w:t>
      </w:r>
    </w:p>
    <w:p>
      <w:r>
        <w:rPr>
          <w:color w:val="6B7380"/>
          <w:sz w:val="22"/>
        </w:rPr>
        <w:t>Référentiel data — CIBLE (idéal / TO-BE) — version 2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748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Valeur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Entreprise</w:t>
            </w:r>
          </w:p>
        </w:tc>
        <w:tc>
          <w:tcPr>
            <w:tcW w:type="dxa" w:w="74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MoveUp — salle de sport indépendante (Versailles)</w:t>
            </w:r>
          </w:p>
        </w:tc>
      </w:tr>
      <w:tr>
        <w:tc>
          <w:tcPr>
            <w:tcW w:type="dxa" w:w="2304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Périmètre</w:t>
            </w:r>
          </w:p>
        </w:tc>
        <w:tc>
          <w:tcPr>
            <w:tcW w:type="dxa" w:w="748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Mono-site · 1 200 adhérents · équipe de 7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Objet</w:t>
            </w:r>
          </w:p>
        </w:tc>
        <w:tc>
          <w:tcPr>
            <w:tcW w:type="dxa" w:w="74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Définir entités, variables et indicateurs (KPI) du SalesOps</w:t>
            </w:r>
          </w:p>
        </w:tc>
      </w:tr>
      <w:tr>
        <w:tc>
          <w:tcPr>
            <w:tcW w:type="dxa" w:w="2304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748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 — CIBLE (idéal). Réalité Excel : voir le dictionnaire ACTUEL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Modèle</w:t>
            </w:r>
          </w:p>
        </w:tc>
        <w:tc>
          <w:tcPr>
            <w:tcW w:type="dxa" w:w="74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10 entités reliées (8 CRM + 2 acquisition/marketing)</w:t>
            </w:r>
          </w:p>
        </w:tc>
      </w:tr>
      <w:tr>
        <w:tc>
          <w:tcPr>
            <w:tcW w:type="dxa" w:w="2304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Note sigles</w:t>
            </w:r>
          </w:p>
        </w:tc>
        <w:tc>
          <w:tcPr>
            <w:tcW w:type="dxa" w:w="748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Chaque sigle est explicité entre parenthèses + glossaire en fin de document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BF0E4"/>
          </w:tcPr>
          <w:p>
            <w:r/>
            <w:r>
              <w:rPr>
                <w:b/>
                <w:color w:val="E86A17"/>
                <w:sz w:val="19"/>
              </w:rPr>
              <w:t xml:space="preserve">Comment lire ce document : </w:t>
            </w:r>
            <w:r>
              <w:rPr>
                <w:i/>
                <w:sz w:val="19"/>
              </w:rPr>
              <w:t>« dim_ » = tables de dimension (référentiels) ; « fact_ » = tables de faits (événements datés). PK = Primary Key (Clé Primaire), FK = Foreign Key (Clé Étrangère), perso = donnée personnelle (RGPD).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20"/>
        <w:pBdr>
          <w:bottom w:val="single" w:sz="8" w:space="3" w:color="E86A17"/>
        </w:pBdr>
      </w:pPr>
      <w:r>
        <w:rPr>
          <w:b/>
          <w:color w:val="2E5E8C"/>
          <w:sz w:val="30"/>
        </w:rPr>
        <w:t>1. Principes &amp;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17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Règle</w:t>
            </w:r>
          </w:p>
        </w:tc>
        <w:tc>
          <w:tcPr>
            <w:tcW w:type="dxa" w:w="561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Convention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Nommage des variables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snake_case, en français sans accent (ex. date_adhesion)</w:t>
            </w:r>
          </w:p>
        </w:tc>
      </w:tr>
      <w:tr>
        <w:tc>
          <w:tcPr>
            <w:tcW w:type="dxa" w:w="417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Clé primaire (PK — Primary Key / Clé Primaire)</w:t>
            </w:r>
          </w:p>
        </w:tc>
        <w:tc>
          <w:tcPr>
            <w:tcW w:type="dxa" w:w="561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*_id unique (ex. lead_id)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Clé étrangère (FK — Foreign Key / Clé Étrangère)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même nom que la PK d'origine</w:t>
            </w:r>
          </w:p>
        </w:tc>
      </w:tr>
      <w:tr>
        <w:tc>
          <w:tcPr>
            <w:tcW w:type="dxa" w:w="417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Dates / heures</w:t>
            </w:r>
          </w:p>
        </w:tc>
        <w:tc>
          <w:tcPr>
            <w:tcW w:type="dxa" w:w="561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ISO 8601 (norme internationale) : AAAA-MM-JJ ou AAAA-MM-JJThh:mm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Montants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euros (€), nombre décimal</w:t>
            </w:r>
          </w:p>
        </w:tc>
      </w:tr>
      <w:tr>
        <w:tc>
          <w:tcPr>
            <w:tcW w:type="dxa" w:w="417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Booléens</w:t>
            </w:r>
          </w:p>
        </w:tc>
        <w:tc>
          <w:tcPr>
            <w:tcW w:type="dxa" w:w="561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vrai / faux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Valeur manquante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NULL (jamais 0 ni vide)</w:t>
            </w:r>
          </w:p>
        </w:tc>
      </w:tr>
      <w:tr>
        <w:tc>
          <w:tcPr>
            <w:tcW w:type="dxa" w:w="417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Données personnelles (perso)</w:t>
            </w:r>
          </w:p>
        </w:tc>
        <w:tc>
          <w:tcPr>
            <w:tcW w:type="dxa" w:w="561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pseudonymisées dans le jeu de démo (RGPD — Règlement Général sur la Protection des Données)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6324F"/>
          <w:sz w:val="23"/>
        </w:rPr>
        <w:t>Types de données utilisés</w:t>
      </w:r>
    </w:p>
    <w:p>
      <w:r>
        <w:t>ID · Texte · Entier · Décimal · Booléen · Date · Datetime · Énum (liste de valeurs fermée — voir §3).</w:t>
      </w:r>
    </w:p>
    <w:p>
      <w:pPr>
        <w:spacing w:before="280" w:after="120"/>
        <w:pBdr>
          <w:bottom w:val="single" w:sz="8" w:space="3" w:color="E86A17"/>
        </w:pBdr>
      </w:pPr>
      <w:r>
        <w:rPr>
          <w:b/>
          <w:color w:val="2E5E8C"/>
          <w:sz w:val="30"/>
        </w:rPr>
        <w:t>2. Modèle de données (entités &amp; relations)</w:t>
      </w:r>
    </w:p>
    <w:p>
      <w:r>
        <w:rPr>
          <w:rFonts w:ascii="Consolas" w:hAnsi="Consolas"/>
          <w:color w:val="16324F"/>
          <w:sz w:val="18"/>
        </w:rPr>
        <w:t>dim_utilisateur (équipe)</w:t>
        <w:br/>
      </w:r>
      <w:r>
        <w:rPr>
          <w:rFonts w:ascii="Consolas" w:hAnsi="Consolas"/>
          <w:color w:val="16324F"/>
          <w:sz w:val="18"/>
        </w:rPr>
        <w:t xml:space="preserve">      | (propriétaire)</w:t>
        <w:br/>
      </w:r>
      <w:r>
        <w:rPr>
          <w:rFonts w:ascii="Consolas" w:hAnsi="Consolas"/>
          <w:color w:val="16324F"/>
          <w:sz w:val="18"/>
        </w:rPr>
        <w:t xml:space="preserve">      v</w:t>
        <w:br/>
      </w:r>
      <w:r>
        <w:rPr>
          <w:rFonts w:ascii="Consolas" w:hAnsi="Consolas"/>
          <w:color w:val="16324F"/>
          <w:sz w:val="18"/>
        </w:rPr>
        <w:t>fact_lead --(devient)--&gt; dim_membre --&lt; fact_abonnement --&lt; fact_paiement</w:t>
        <w:br/>
      </w:r>
      <w:r>
        <w:rPr>
          <w:rFonts w:ascii="Consolas" w:hAnsi="Consolas"/>
          <w:color w:val="16324F"/>
          <w:sz w:val="18"/>
        </w:rPr>
        <w:t xml:space="preserve">   |                          |</w:t>
        <w:br/>
      </w:r>
      <w:r>
        <w:rPr>
          <w:rFonts w:ascii="Consolas" w:hAnsi="Consolas"/>
          <w:color w:val="16324F"/>
          <w:sz w:val="18"/>
        </w:rPr>
        <w:t xml:space="preserve">   |-- &lt; fact_interaction     |-- &lt; fact_checkin (fréquentation)</w:t>
        <w:br/>
      </w:r>
      <w:r>
        <w:rPr>
          <w:rFonts w:ascii="Consolas" w:hAnsi="Consolas"/>
          <w:color w:val="16324F"/>
          <w:sz w:val="18"/>
        </w:rPr>
        <w:t xml:space="preserve">   |-- &lt; fact_rdv (visite / essai)</w:t>
        <w:br/>
      </w:r>
    </w:p>
    <w:p>
      <w:r>
        <w:t>• Mono-site : pas de dimension multi-club (identifiant du site = MOV-VSL, constante).</w:t>
      </w:r>
    </w:p>
    <w:p>
      <w:r>
        <w:t>• Un lead gagné devient un membre (lead_id conservé comme origine).</w:t>
      </w:r>
    </w:p>
    <w:p>
      <w:r>
        <w:t>• Le lead porte aussi l'opportunité : mrr_estime + probabilite_close (offre visée).</w:t>
      </w:r>
    </w:p>
    <w:p>
      <w:r>
        <w:t>• Couche acquisition (amont) : fact_acquisition (canal × jour) + fact_newsletter (mensuel), reliées par canal + date → funnel dépense → clic → lead → adhésion → MRR.</w:t>
      </w:r>
    </w:p>
    <w:p>
      <w:pPr>
        <w:spacing w:before="280" w:after="120"/>
        <w:pBdr>
          <w:bottom w:val="single" w:sz="8" w:space="3" w:color="E86A17"/>
        </w:pBdr>
      </w:pPr>
      <w:r>
        <w:rPr>
          <w:b/>
          <w:color w:val="2E5E8C"/>
          <w:sz w:val="30"/>
        </w:rPr>
        <w:t>3. Référentiels (énumérations)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Référentiel</w:t>
            </w:r>
          </w:p>
        </w:tc>
        <w:tc>
          <w:tcPr>
            <w:tcW w:type="dxa" w:w="6192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Valeurs possibles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source / canal (acquisition)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instagram · google_ads · site_web · recommandation · newsletter</w:t>
            </w:r>
          </w:p>
        </w:tc>
      </w:tr>
      <w:tr>
        <w:tc>
          <w:tcPr>
            <w:tcW w:type="dxa" w:w="360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statut_lead (funnel)</w:t>
            </w:r>
          </w:p>
        </w:tc>
        <w:tc>
          <w:tcPr>
            <w:tcW w:type="dxa" w:w="619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nouveau · contacte · visite · essai · gagne · perdu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raison_perte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prix · horaires · distance · concurrent · pas_pret · injoignable · sans_reponse_post_essai</w:t>
            </w:r>
          </w:p>
        </w:tc>
      </w:tr>
      <w:tr>
        <w:tc>
          <w:tcPr>
            <w:tcW w:type="dxa" w:w="360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objectif_sportif</w:t>
            </w:r>
          </w:p>
        </w:tc>
        <w:tc>
          <w:tcPr>
            <w:tcW w:type="dxa" w:w="619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perte_poids · prise_de_masse · remise_en_forme · bien_etre · performance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type_abonnement (montant)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essentiel (49 €) · premium (69 €) · coaching_seance (50 €) · coaching_pack5 (225 €) · coaching_pack10 (400 €)</w:t>
            </w:r>
          </w:p>
        </w:tc>
      </w:tr>
      <w:tr>
        <w:tc>
          <w:tcPr>
            <w:tcW w:type="dxa" w:w="360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statut_abonnement</w:t>
            </w:r>
          </w:p>
        </w:tc>
        <w:tc>
          <w:tcPr>
            <w:tcW w:type="dxa" w:w="619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actif · en_pause · resilie · suspendu_impaye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motif_resiliation (churn — attrition)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prix · demenagement · manque_temps · horaires · insatisfaction · blessure_sante · inconnu</w:t>
            </w:r>
          </w:p>
        </w:tc>
      </w:tr>
      <w:tr>
        <w:tc>
          <w:tcPr>
            <w:tcW w:type="dxa" w:w="360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type_interaction (canal)</w:t>
            </w:r>
          </w:p>
        </w:tc>
        <w:tc>
          <w:tcPr>
            <w:tcW w:type="dxa" w:w="619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appel · sms (Short Message Service) · whatsapp · email · instagram_dm (Direct Message)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type_rdv / statut_rdv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visite · essai  /  planifie · realise · no_show (absence) · annule</w:t>
            </w:r>
          </w:p>
        </w:tc>
      </w:tr>
      <w:tr>
        <w:tc>
          <w:tcPr>
            <w:tcW w:type="dxa" w:w="360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role (équipe)</w:t>
            </w:r>
          </w:p>
        </w:tc>
        <w:tc>
          <w:tcPr>
            <w:tcW w:type="dxa" w:w="619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gerant · commercial · accueil · coach · alternant_comm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mode_paiement / statut_paiement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prelevement_sepa (SEPA) · cb · especes  /  paye · en_attente · echoue · rembourse</w:t>
            </w:r>
          </w:p>
        </w:tc>
      </w:tr>
      <w:tr>
        <w:tc>
          <w:tcPr>
            <w:tcW w:type="dxa" w:w="360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genre</w:t>
            </w:r>
          </w:p>
        </w:tc>
        <w:tc>
          <w:tcPr>
            <w:tcW w:type="dxa" w:w="619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 · F · NC (Non Communiqué)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BF0E4"/>
          </w:tcPr>
          <w:p>
            <w:r/>
            <w:r>
              <w:rPr>
                <w:b/>
                <w:color w:val="E86A17"/>
                <w:sz w:val="19"/>
              </w:rPr>
              <w:t xml:space="preserve">Note : </w:t>
            </w:r>
            <w:r>
              <w:rPr>
                <w:i/>
                <w:sz w:val="19"/>
              </w:rPr>
              <w:t>Aujourd'hui, whatsapp / sms / instagram_dm transitent par le téléphone personnel du gérant → non centralisés (champ centralise = faux). Irritant clé matérialisé dans la donnée.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8" w:space="3" w:color="E86A17"/>
        </w:pBdr>
      </w:pPr>
      <w:r>
        <w:rPr>
          <w:b/>
          <w:color w:val="2E5E8C"/>
          <w:sz w:val="30"/>
        </w:rPr>
        <w:t>4. Dictionnaire par entité</w:t>
      </w:r>
    </w:p>
    <w:p>
      <w:pPr>
        <w:spacing w:before="160" w:after="60"/>
      </w:pPr>
      <w:r>
        <w:rPr>
          <w:b/>
          <w:color w:val="16324F"/>
          <w:sz w:val="23"/>
        </w:rPr>
        <w:t>4.1  dim_utilisateur — Équipe (propriétaires des leads / actions)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2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utilisateur_id (PK)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Identifiant d'un membre de l'équipe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USR-02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nom (perso)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Texte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Nom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Dubois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Rôle (gerant, commercial, accueil, coach, alternant_comm)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commercial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actif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Booléen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 poste / disponible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vrai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objectif_mensuel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Entier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Quota d'abonnements / mois (si commercial)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25</w:t>
            </w:r>
          </w:p>
        </w:tc>
      </w:tr>
    </w:tbl>
    <w:p>
      <w:pPr>
        <w:spacing w:after="80"/>
      </w:pPr>
    </w:p>
    <w:p>
      <w:r>
        <w:t>Reflète la réalité : 1 gerant (fait aussi du commercial), 1 commercial, 1 accueil, 3 coach, 1 alternant_comm.</w:t>
      </w:r>
    </w:p>
    <w:p>
      <w:pPr>
        <w:spacing w:before="160" w:after="60"/>
      </w:pPr>
      <w:r>
        <w:rPr>
          <w:b/>
          <w:color w:val="16324F"/>
          <w:sz w:val="23"/>
        </w:rPr>
        <w:t>4.2  fact_lead — Leads / Prospects (= opportunité)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2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lead_id (PK)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Identifiant du lead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LEAD-2026-0412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date_creation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Arrivée du lead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2026-06-01T09:14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nom_complet (perso)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Texte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Nom + prénom (personnalisation)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Sarah Martin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email (perso)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Texte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Email de contact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s.martin@…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telephone (perso)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Texte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Téléphone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+33…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age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Entier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Âge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31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genre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Genre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commune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Texte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Ville (zone de chalandise)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Viroflay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Canal d'acquisition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instagram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campagne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Texte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Campagne (utm_campaign)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insta_rentree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objectif_sportif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Motif (ciblage offres / relances)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perte_poids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statut_lead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Étape du funnel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essai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Entier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Score 0–100 (priorisation prospects chauds)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78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mrr_estime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Décimal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MRR (Monthly Recurring Revenue — Revenu Mensuel Récurrent) de l'offre visée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69.00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probabilite_close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Décimal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Probabilité de signature selon l'étape (0–1)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0.45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proprietaire_id (FK)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Qui suit le lead (dim_utilisateur)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USR-02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date_premier_contact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1er contact réel → speed-to-lead (délai de 1er contact)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2026-06-03T17:20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date_cloture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 gagné / perdu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2026-06-08T18:00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raison_perte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 perdu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sans_reponse_post_essai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consentement_rgpd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Booléen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Opt-in marketing (RGPD)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vrai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6324F"/>
          <w:sz w:val="23"/>
        </w:rPr>
        <w:t>4.3  dim_membre — Adhérents (1 200)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2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membre_id (PK)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Identifiant adhérent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MEM-00873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lead_id (FK)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Lead d'origine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LEAD-2026-0412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date_adhesion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1re adhésion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2026-06-08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proprietaire_origine (FK)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Qui a closé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USR-02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age / genre / commune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Données socio-démographiques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31 / F / Viroflay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source_acquisition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Canal d'origine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instagram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statut_membre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actif / en_pause / resilie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actif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date_dernier_passage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Dernier check-in (signal de churn)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2026-06-18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frequence_hebdo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Décimal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Visites moyennes / semaine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2.4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utilisation_coaching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Booléen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Utilise les services coaching ? (upsell — montée en gamme)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faux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score_risque_churn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Entier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Risque de résiliation 0–100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64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6324F"/>
          <w:sz w:val="23"/>
        </w:rPr>
        <w:t>4.4  fact_abonnement — Abonnements / Contrats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2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abonnement_id (PK)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Identifiant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ABO-01290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membre_id (FK)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Adhérent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MEM-00873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type_abonnement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Offre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premium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date_debut / date_fin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Période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2026-06-08 / NULL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montant_mensuel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Décimal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€ / mois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69.00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mode_paiement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Moyen de paiement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prelevement_sepa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statut_abonnement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État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actif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date_resiliation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 résilié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NULL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motif_resiliation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Cause du churn (attrition)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NULL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6324F"/>
          <w:sz w:val="23"/>
        </w:rPr>
        <w:t>4.5  fact_interaction — Interactions commerciales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2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interaction_id (PK)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Identifiant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INT-44120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lead_id (FK)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Lead concerné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LEAD-2026-0412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proprietaire_id (FK)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Auteur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USR-01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type_interaction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Canal (appel / sms / whatsapp / email / instagram_dm)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whatsapp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date_heure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Horodatage (prouve le manque de suivi)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2026-06-03T17:20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resultat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joint / non_joint / rdv_pris / refus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rdv_pris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centralise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Booléen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Visible par l'équipe (sinon = téléphone perso)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faux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notes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Texte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Compte-rendu (souvent vide / incohérent)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NULL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6324F"/>
          <w:sz w:val="23"/>
        </w:rPr>
        <w:t>4.6  fact_rdv — Visites &amp; séances d'essai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2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rdv_id (PK)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Identifiant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RDV-0771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lead_id (FK)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Lead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LEAD-2026-0412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type_rdv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visite / essai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essai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proprietaire_id (FK)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Accompagnateur (commercial / coach)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USR-04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date_planifiee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Prévu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2026-06-05T18:00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date_realisee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Réalisé (si présent)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2026-06-05T18:03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statut_rdv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planifie / realise / no_show / annule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realise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relance_post_essai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Booléen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A-t-on rappelé après l'essai ?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faux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6324F"/>
          <w:sz w:val="23"/>
        </w:rPr>
        <w:t>4.7  fact_checkin — Fréquentation (portique)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2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checkin_id (PK)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Identifiant du passage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CHK-552310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membre_id (FK)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Adhérent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MEM-00873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date_heure_entree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Entrée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2026-06-18T19:12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type_acces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badge / qr_code (QR — Quick Response)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qr_code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6324F"/>
          <w:sz w:val="23"/>
        </w:rPr>
        <w:t>4.8  fact_paiement — Paiements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2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paiement_id (PK)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Identifiant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PAY-118402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abonnement_id (FK)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Contrat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ABO-01290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membre_id (FK)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Adhérent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MEM-00873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date_paiement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2026-07-08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montant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Décimal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€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69.00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statut_paiement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paye / en_attente / echoue / rembourse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paye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6324F"/>
          <w:sz w:val="23"/>
        </w:rPr>
        <w:t>4.9  fact_acquisition — Performance acquisition (canal × jour)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2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acquisition_id (PK)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Identifiant de ligne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ACQ-00142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Jour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2026-06-15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canal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Énum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Canal d'acquisition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instagram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campagne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Texte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Campagne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insta_rentree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depense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Décimal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€ dépensés (0 si organique)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120.50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impressions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Entier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Affichages pub (NULL si organique)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8200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clics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Entier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Clics pub (NULL si organique)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98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ctr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Décimal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Taux de clic = clics / impressions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0.0120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sessions_site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Entier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Sessions web attribuées au canal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92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temps_moyen_site_sec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Entier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Temps moyen sur le site (secondes)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74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taux_rebond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Décimal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Part de sessions sans interaction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0.61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leads_generes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Entier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Leads issus du canal ce jour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cpl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Décimal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Coût par lead = depense / leads_generes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18.30</w:t>
            </w:r>
          </w:p>
        </w:tc>
      </w:tr>
    </w:tbl>
    <w:p>
      <w:pPr>
        <w:spacing w:after="80"/>
      </w:pPr>
    </w:p>
    <w:p>
      <w:r>
        <w:t>Relié au reste par canal (= source) + date → ROI par canal et funnel complet dépense → MRR.</w:t>
      </w:r>
    </w:p>
    <w:p>
      <w:pPr>
        <w:spacing w:before="160" w:after="60"/>
      </w:pPr>
      <w:r>
        <w:rPr>
          <w:b/>
          <w:color w:val="16324F"/>
          <w:sz w:val="23"/>
        </w:rPr>
        <w:t>4.10  fact_newsletter — Emailing / nurturing (mensuel)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2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16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 (PK)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Texte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Mois (AAAA-MM)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2026-06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abonnes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Entier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d'abonnés en fin de mois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3403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nouveaux_abonnes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Entier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Inscrits du mois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104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desabonnements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Entier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Désinscrits du mois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41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taux_ouverture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Décimal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Taux d'ouverture moyen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0.34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taux_clic_email</w:t>
            </w:r>
          </w:p>
        </w:tc>
        <w:tc>
          <w:tcPr>
            <w:tcW w:type="dxa" w:w="12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Décimal</w:t>
            </w:r>
          </w:p>
        </w:tc>
        <w:tc>
          <w:tcPr>
            <w:tcW w:type="dxa" w:w="489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Taux de clic email</w:t>
            </w:r>
          </w:p>
        </w:tc>
        <w:tc>
          <w:tcPr>
            <w:tcW w:type="dxa" w:w="216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0.04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8" w:space="3" w:color="E86A17"/>
        </w:pBdr>
      </w:pPr>
      <w:r>
        <w:rPr>
          <w:b/>
          <w:color w:val="2E5E8C"/>
          <w:sz w:val="30"/>
        </w:rPr>
        <w:t>5. Indicateurs calculés (KPI — Key Performance Indicator / Indicateur Clé de Performance)</w:t>
      </w:r>
    </w:p>
    <w:p>
      <w:pPr>
        <w:spacing w:before="160" w:after="60"/>
      </w:pPr>
      <w:r>
        <w:rPr>
          <w:b/>
          <w:color w:val="16324F"/>
          <w:sz w:val="23"/>
        </w:rPr>
        <w:t>5.1  Acquisition &amp; vente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32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Indicateur</w:t>
            </w:r>
          </w:p>
        </w:tc>
        <w:tc>
          <w:tcPr>
            <w:tcW w:type="dxa" w:w="432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Formule</w:t>
            </w:r>
          </w:p>
        </w:tc>
        <w:tc>
          <w:tcPr>
            <w:tcW w:type="dxa" w:w="1152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Unité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Taux de conversion global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adhésions / leads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Conversion par étape</w:t>
            </w:r>
          </w:p>
        </w:tc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passés étape N+1 / étape N</w:t>
            </w:r>
          </w:p>
        </w:tc>
        <w:tc>
          <w:tcPr>
            <w:tcW w:type="dxa" w:w="115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Taux de no-show (rendez-vous manqués)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rdv no_show / rdv planifiés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Speed-to-lead (délai de 1er contact)</w:t>
            </w:r>
          </w:p>
        </w:tc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moy(date_premier_contact − date_creation)</w:t>
            </w:r>
          </w:p>
        </w:tc>
        <w:tc>
          <w:tcPr>
            <w:tcW w:type="dxa" w:w="115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heures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Durée du cycle de vente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moy(date_adhesion − date_creation)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jours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Taux de relance post-essai</w:t>
            </w:r>
          </w:p>
        </w:tc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essais avec relance / essais non convertis</w:t>
            </w:r>
          </w:p>
        </w:tc>
        <w:tc>
          <w:tcPr>
            <w:tcW w:type="dxa" w:w="115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Atteinte d'objectif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adhésions / objectif_mensuel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%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6324F"/>
          <w:sz w:val="23"/>
        </w:rPr>
        <w:t>5.2  ROI marketing (ROI — Return On Investment / Retour sur Investissement) par canal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32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Indicateur</w:t>
            </w:r>
          </w:p>
        </w:tc>
        <w:tc>
          <w:tcPr>
            <w:tcW w:type="dxa" w:w="432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Formule</w:t>
            </w:r>
          </w:p>
        </w:tc>
        <w:tc>
          <w:tcPr>
            <w:tcW w:type="dxa" w:w="1152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Unité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CPL (Cost Per Lead — Coût Par Lead)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dépense canal / leads du canal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€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CAC (Customer Acquisition Cost — Coût d'Acquisition Client)</w:t>
            </w:r>
          </w:p>
        </w:tc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dépense canal / adhésions du canal</w:t>
            </w:r>
          </w:p>
        </w:tc>
        <w:tc>
          <w:tcPr>
            <w:tcW w:type="dxa" w:w="115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€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Taux de conversion par canal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adhésions canal / leads canal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Part des adhérents par canal</w:t>
            </w:r>
          </w:p>
        </w:tc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adhésions canal / total adhésions</w:t>
            </w:r>
          </w:p>
        </w:tc>
        <w:tc>
          <w:tcPr>
            <w:tcW w:type="dxa" w:w="115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CTR (Click-Through Rate — Taux de clic)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clics / impressions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CPC (Cost Per Click — Coût Par Clic)</w:t>
            </w:r>
          </w:p>
        </w:tc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dépense / clics</w:t>
            </w:r>
          </w:p>
        </w:tc>
        <w:tc>
          <w:tcPr>
            <w:tcW w:type="dxa" w:w="115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€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Taux de rebond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sessions sans interaction / sessions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ROAS (Return On Ad Spend — Retour sur Dépense Pub)</w:t>
            </w:r>
          </w:p>
        </w:tc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MRR généré / dépense pub</w:t>
            </w:r>
          </w:p>
        </w:tc>
        <w:tc>
          <w:tcPr>
            <w:tcW w:type="dxa" w:w="115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ratio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Taux d'ouverture / clic newsletter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ouvertures (clics) / emails envoyés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Croissance abonnés newsletter</w:t>
            </w:r>
          </w:p>
        </w:tc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nouveaux_abonnes − desabonnements</w:t>
            </w:r>
          </w:p>
        </w:tc>
        <w:tc>
          <w:tcPr>
            <w:tcW w:type="dxa" w:w="115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abonnés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6324F"/>
          <w:sz w:val="23"/>
        </w:rPr>
        <w:t>5.3  Revenus, rétention &amp; upsell (montée en gamme)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32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Indicateur</w:t>
            </w:r>
          </w:p>
        </w:tc>
        <w:tc>
          <w:tcPr>
            <w:tcW w:type="dxa" w:w="432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Formule</w:t>
            </w:r>
          </w:p>
        </w:tc>
        <w:tc>
          <w:tcPr>
            <w:tcW w:type="dxa" w:w="1152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Unité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MRR (Monthly Recurring Revenue — Revenu Mensuel Récurrent)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Σ montant_mensuel des abonnements actifs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€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ARPM (Average Revenue Per Member — Revenu Moyen par Adhérent)</w:t>
            </w:r>
          </w:p>
        </w:tc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MRR / membres actifs</w:t>
            </w:r>
          </w:p>
        </w:tc>
        <w:tc>
          <w:tcPr>
            <w:tcW w:type="dxa" w:w="115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€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Taux de churn (attrition) mensuel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résiliations / membres actifs début de mois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Durée de vie moyenne</w:t>
            </w:r>
          </w:p>
        </w:tc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 / churn</w:t>
            </w:r>
          </w:p>
        </w:tc>
        <w:tc>
          <w:tcPr>
            <w:tcW w:type="dxa" w:w="115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mois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LTV (Lifetime Value — Valeur Vie Client)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ARPM × durée de vie moyenne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€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Ratio LTV / CAC</w:t>
            </w:r>
          </w:p>
        </w:tc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LTV / CAC</w:t>
            </w:r>
          </w:p>
        </w:tc>
        <w:tc>
          <w:tcPr>
            <w:tcW w:type="dxa" w:w="115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ratio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Taux d'upsell coaching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membres avec coaching / membres actifs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Taux Premium</w:t>
            </w:r>
          </w:p>
        </w:tc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abonnements premium / abonnements actifs</w:t>
            </w:r>
          </w:p>
        </w:tc>
        <w:tc>
          <w:tcPr>
            <w:tcW w:type="dxa" w:w="115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%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6324F"/>
          <w:sz w:val="23"/>
        </w:rPr>
        <w:t>5.4  Engagement (signaux avancés de churn)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32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Indicateur</w:t>
            </w:r>
          </w:p>
        </w:tc>
        <w:tc>
          <w:tcPr>
            <w:tcW w:type="dxa" w:w="432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Formule</w:t>
            </w:r>
          </w:p>
        </w:tc>
        <w:tc>
          <w:tcPr>
            <w:tcW w:type="dxa" w:w="1152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Unité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Fréquence de visite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check-ins / membre / mois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visites</w:t>
            </w:r>
          </w:p>
        </w:tc>
      </w:tr>
      <w:tr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Taux de membres inactifs</w:t>
            </w:r>
          </w:p>
        </w:tc>
        <w:tc>
          <w:tcPr>
            <w:tcW w:type="dxa" w:w="432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membres 0 visite sur 30 j / membres actifs</w:t>
            </w:r>
          </w:p>
        </w:tc>
        <w:tc>
          <w:tcPr>
            <w:tcW w:type="dxa" w:w="115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%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BF0E4"/>
          </w:tcPr>
          <w:p>
            <w:r/>
            <w:r>
              <w:rPr>
                <w:b/>
                <w:color w:val="E86A17"/>
                <w:sz w:val="19"/>
              </w:rPr>
              <w:t xml:space="preserve">Insight clé : </w:t>
            </w:r>
            <w:r>
              <w:rPr>
                <w:i/>
                <w:sz w:val="19"/>
              </w:rPr>
              <w:t>Croiser fact_checkin × dim_membre (frequence_hebdo, date_dernier_passage) alimente score_risque_churn → on anticipe la résiliation et on déclenche une relance. Donnée aujourd'hui inexploitée chez MoveUp.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8" w:space="3" w:color="E86A17"/>
        </w:pBdr>
      </w:pPr>
      <w:r>
        <w:rPr>
          <w:b/>
          <w:color w:val="2E5E8C"/>
          <w:sz w:val="30"/>
        </w:rPr>
        <w:t>6. Gouvernance, sources &amp; astuce démo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Domaine</w:t>
            </w:r>
          </w:p>
        </w:tc>
        <w:tc>
          <w:tcPr>
            <w:tcW w:type="dxa" w:w="345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Source actuelle</w:t>
            </w:r>
          </w:p>
        </w:tc>
        <w:tc>
          <w:tcPr>
            <w:tcW w:type="dxa" w:w="3456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Cible (plan SalesOps)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Leads, interactions, RDV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Excel partagé + téléphone perso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CRM unifié (CRM — Customer Relationship Management / Gestion de la Relation Client)</w:t>
            </w:r>
          </w:p>
        </w:tc>
      </w:tr>
      <w:tr>
        <w:tc>
          <w:tcPr>
            <w:tcW w:type="dxa" w:w="288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Abonnements, paiements</w:t>
            </w:r>
          </w:p>
        </w:tc>
        <w:tc>
          <w:tcPr>
            <w:tcW w:type="dxa" w:w="345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Logiciel de caisse / Excel</w:t>
            </w:r>
          </w:p>
        </w:tc>
        <w:tc>
          <w:tcPr>
            <w:tcW w:type="dxa" w:w="345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CRM + connecteur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Check-ins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Portique (badge / QR)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Flux vers le CRM / reporting</w:t>
            </w:r>
          </w:p>
        </w:tc>
      </w:tr>
      <w:tr>
        <w:tc>
          <w:tcPr>
            <w:tcW w:type="dxa" w:w="288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Acquisition (coûts)</w:t>
            </w:r>
          </w:p>
        </w:tc>
        <w:tc>
          <w:tcPr>
            <w:tcW w:type="dxa" w:w="345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Instagram / Google Ads</w:t>
            </w:r>
          </w:p>
        </w:tc>
        <w:tc>
          <w:tcPr>
            <w:tcW w:type="dxa" w:w="3456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Connecteur reporting (ROI) → fact_acquisition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Web analytics &amp; newsletter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Google Analytics / outil d'emailing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fact_acquisition + fact_newsletter (reliés par canal + date)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6324F"/>
          <w:sz w:val="23"/>
        </w:rPr>
        <w:t>Règles de gouvernance</w:t>
      </w:r>
    </w:p>
    <w:p>
      <w:pPr>
        <w:pStyle w:val="ListBullet"/>
      </w:pPr>
      <w:r>
        <w:rPr>
          <w:sz w:val="19"/>
        </w:rPr>
        <w:t>Granularité : 1 ligne = 1 événement (fact_) ou 1 entité (dim_).</w:t>
      </w:r>
    </w:p>
    <w:p>
      <w:pPr>
        <w:pStyle w:val="ListBullet"/>
      </w:pPr>
      <w:r>
        <w:rPr>
          <w:sz w:val="19"/>
        </w:rPr>
        <w:t>Ownership : chaque lead a un proprietaire_id → fini le « prospect orphelin » quand le commercial est absent.</w:t>
      </w:r>
    </w:p>
    <w:p>
      <w:pPr>
        <w:pStyle w:val="ListBullet"/>
      </w:pPr>
      <w:r>
        <w:rPr>
          <w:sz w:val="19"/>
        </w:rPr>
        <w:t>Complétude : champs obligatoires non NULL à chaque changement d'étape (règle CRM).</w:t>
      </w:r>
    </w:p>
    <w:p>
      <w:pPr>
        <w:pStyle w:val="ListBullet"/>
      </w:pPr>
      <w:r>
        <w:rPr>
          <w:sz w:val="19"/>
        </w:rPr>
        <w:t>RGPD : champs « perso » pseudonymisés dans la démo ; consentement tracé.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BF0E4"/>
          </w:tcPr>
          <w:p>
            <w:r/>
            <w:r>
              <w:rPr>
                <w:b/>
                <w:color w:val="E86A17"/>
                <w:sz w:val="19"/>
              </w:rPr>
              <w:t xml:space="preserve">Astuce démo (avant / après) : </w:t>
            </w:r>
            <w:r>
              <w:rPr>
                <w:i/>
                <w:sz w:val="19"/>
              </w:rPr>
              <w:t>On génère volontairement de la donnée « sale » (notes vides, date_premier_contact à plusieurs jours, centralise = faux, doublons, relance_post_essai = faux) pour illustrer le problème, puis la version structurée pour la solution.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8" w:space="3" w:color="E86A17"/>
        </w:pBdr>
      </w:pPr>
      <w:r>
        <w:rPr>
          <w:b/>
          <w:color w:val="2E5E8C"/>
          <w:sz w:val="30"/>
        </w:rPr>
        <w:t>7. Glossaire des sigles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Sigle</w:t>
            </w:r>
          </w:p>
        </w:tc>
        <w:tc>
          <w:tcPr>
            <w:tcW w:type="dxa" w:w="3312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Signification</w:t>
            </w:r>
          </w:p>
        </w:tc>
        <w:tc>
          <w:tcPr>
            <w:tcW w:type="dxa" w:w="5040"/>
            <w:shd w:val="clear" w:color="auto" w:fill="2E5E8C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Définition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MRR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Monthly Recurring Revenue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Revenu Mensuel Récurrent : somme des abonnements actifs.</w:t>
            </w:r>
          </w:p>
        </w:tc>
      </w:tr>
      <w:tr>
        <w:tc>
          <w:tcPr>
            <w:tcW w:type="dxa" w:w="14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ARPM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Average Revenue Per Member</w:t>
            </w:r>
          </w:p>
        </w:tc>
        <w:tc>
          <w:tcPr>
            <w:tcW w:type="dxa" w:w="50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Revenu Moyen par Adhérent (panier moyen) = MRR / membres actifs.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LTV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Lifetime Value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Valeur Vie Client : revenu total moyen généré par un adhérent.</w:t>
            </w:r>
          </w:p>
        </w:tc>
      </w:tr>
      <w:tr>
        <w:tc>
          <w:tcPr>
            <w:tcW w:type="dxa" w:w="14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CAC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 Acquisition Cost</w:t>
            </w:r>
          </w:p>
        </w:tc>
        <w:tc>
          <w:tcPr>
            <w:tcW w:type="dxa" w:w="50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Coût d'Acquisition Client : dépense pour gagner un adhérent.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CPL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Cost Per Lead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Coût Par Lead : dépense pour générer un prospect.</w:t>
            </w:r>
          </w:p>
        </w:tc>
      </w:tr>
      <w:tr>
        <w:tc>
          <w:tcPr>
            <w:tcW w:type="dxa" w:w="14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CTR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Click-Through Rate</w:t>
            </w:r>
          </w:p>
        </w:tc>
        <w:tc>
          <w:tcPr>
            <w:tcW w:type="dxa" w:w="50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Taux de clic = clics / impressions.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CPC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Cost Per Click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Coût par clic publicitaire.</w:t>
            </w:r>
          </w:p>
        </w:tc>
      </w:tr>
      <w:tr>
        <w:tc>
          <w:tcPr>
            <w:tcW w:type="dxa" w:w="14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ROAS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Return On Ad Spend</w:t>
            </w:r>
          </w:p>
        </w:tc>
        <w:tc>
          <w:tcPr>
            <w:tcW w:type="dxa" w:w="50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Retour sur dépense publicitaire = revenu / dépense pub.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GA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Google Analytics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Outil de mesure d'audience du site web.</w:t>
            </w:r>
          </w:p>
        </w:tc>
      </w:tr>
      <w:tr>
        <w:tc>
          <w:tcPr>
            <w:tcW w:type="dxa" w:w="14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Key Performance Indicator</w:t>
            </w:r>
          </w:p>
        </w:tc>
        <w:tc>
          <w:tcPr>
            <w:tcW w:type="dxa" w:w="50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Indicateur Clé de Performance.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Return On Investment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Retour sur Investissement.</w:t>
            </w:r>
          </w:p>
        </w:tc>
      </w:tr>
      <w:tr>
        <w:tc>
          <w:tcPr>
            <w:tcW w:type="dxa" w:w="14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CRM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 Relationship Management</w:t>
            </w:r>
          </w:p>
        </w:tc>
        <w:tc>
          <w:tcPr>
            <w:tcW w:type="dxa" w:w="50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Gestion de la Relation Client (l'outil et la démarche).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RGPD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Règlement Général sur la Protection des Données (UE).</w:t>
            </w:r>
          </w:p>
        </w:tc>
      </w:tr>
      <w:tr>
        <w:tc>
          <w:tcPr>
            <w:tcW w:type="dxa" w:w="14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SEPA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Single Euro Payments Area</w:t>
            </w:r>
          </w:p>
        </w:tc>
        <w:tc>
          <w:tcPr>
            <w:tcW w:type="dxa" w:w="50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Espace unique de paiement en euros (prélèvement bancaire).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PK / FK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Primary / Foreign Key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Clé Primaire / Clé Étrangère (base de données).</w:t>
            </w:r>
          </w:p>
        </w:tc>
      </w:tr>
      <w:tr>
        <w:tc>
          <w:tcPr>
            <w:tcW w:type="dxa" w:w="14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Churn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0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Taux d'attrition : part d'adhérents qui résilient.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Upsell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Montée en gamme (ex. Essentiel → Premium, ajout de coaching).</w:t>
            </w:r>
          </w:p>
        </w:tc>
      </w:tr>
      <w:tr>
        <w:tc>
          <w:tcPr>
            <w:tcW w:type="dxa" w:w="14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Speed-to-lead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0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Délai entre l'arrivée du lead et le 1er contact.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No-show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Rendez-vous manqué (prospect absent).</w:t>
            </w:r>
          </w:p>
        </w:tc>
      </w:tr>
      <w:tr>
        <w:tc>
          <w:tcPr>
            <w:tcW w:type="dxa" w:w="14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ISO 8601</w:t>
            </w:r>
          </w:p>
        </w:tc>
        <w:tc>
          <w:tcPr>
            <w:tcW w:type="dxa" w:w="3312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040"/>
            <w:shd w:val="clear" w:color="auto" w:fill="EEF3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Norme internationale de format de date/heure.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