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52"/>
          <w:szCs w:val="52"/>
        </w:rPr>
        <w:t xml:space="preserve">ARTEFACT CI</w:t>
      </w:r>
    </w:p>
    <w:p>
      <w:pPr>
        <w:spacing w:after="80" w:before="80"/>
        <w:jc w:val="center"/>
      </w:pPr>
      <w:r>
        <w:rPr>
          <w:rFonts w:ascii="Arial" w:cs="Arial" w:eastAsia="Arial" w:hAnsi="Arial"/>
          <w:b/>
          <w:bCs/>
          <w:color w:val="2E75B6"/>
          <w:sz w:val="36"/>
          <w:szCs w:val="36"/>
        </w:rPr>
        <w:t xml:space="preserve">Challenge Data Scientist Senior</w:t>
      </w:r>
    </w:p>
    <w:p>
      <w:pPr>
        <w:spacing w:after="400" w:before="80"/>
        <w:jc w:val="center"/>
      </w:pPr>
      <w:r>
        <w:rPr>
          <w:rFonts w:ascii="Arial" w:cs="Arial" w:eastAsia="Arial" w:hAnsi="Arial"/>
          <w:color w:val="505050"/>
          <w:sz w:val="26"/>
          <w:szCs w:val="26"/>
        </w:rPr>
        <w:t xml:space="preserve">Prediction du NPS Client pour un Operateur Telecom</w:t>
      </w:r>
    </w:p>
    <w:p>
      <w:pPr>
        <w:pBdr>
          <w:bottom w:val="single" w:color="1F4E79" w:sz="8" w:space="1"/>
        </w:pBdr>
        <w:spacing w:after="400" w:before="0"/>
        <w:jc w:val="center"/>
      </w:pPr>
      <w:r>
        <w:t xml:space="preserve"/>
      </w:r>
    </w:p>
    <w:p>
      <w:pPr>
        <w:spacing w:after="200" w:before="400"/>
        <w:jc w:val="center"/>
      </w:pPr>
      <w:r>
        <w:rPr>
          <w:rFonts w:ascii="Arial" w:cs="Arial" w:eastAsia="Arial" w:hAnsi="Arial"/>
          <w:b/>
          <w:bCs/>
          <w:color w:val="1F4E79"/>
          <w:sz w:val="44"/>
          <w:szCs w:val="44"/>
        </w:rPr>
        <w:t xml:space="preserve">Documentation EDA</w:t>
      </w:r>
    </w:p>
    <w:p>
      <w:pPr>
        <w:spacing w:after="600" w:before="80"/>
        <w:jc w:val="center"/>
      </w:pPr>
      <w:r>
        <w:rPr>
          <w:rFonts w:ascii="Arial" w:cs="Arial" w:eastAsia="Arial" w:hAnsi="Arial"/>
          <w:i/>
          <w:iCs/>
          <w:color w:val="666666"/>
          <w:sz w:val="22"/>
          <w:szCs w:val="22"/>
        </w:rPr>
        <w:t xml:space="preserve">Toutes les decisions, justifications et resultats cles du notebook</w:t>
      </w:r>
    </w:p>
    <w:p>
      <w:pPr>
        <w:spacing w:after="60" w:before="60"/>
      </w:pPr>
      <w:r>
        <w:t xml:space="preserve"/>
      </w:r>
    </w:p>
    <w:p>
      <w:pPr>
        <w:spacing w:after="60" w:before="60"/>
      </w:pPr>
      <w:r>
        <w:t xml:space="preserve"/>
      </w:r>
    </w:p>
    <w:p>
      <w:pPr>
        <w:spacing w:after="60" w:before="60"/>
      </w:pPr>
      <w:r>
        <w:t xml:space="preserve"/>
      </w:r>
    </w:p>
    <w:p>
      <w:pPr>
        <w:spacing w:after="60" w:before="80"/>
        <w:jc w:val="center"/>
      </w:pPr>
      <w:r>
        <w:rPr>
          <w:rFonts w:ascii="Arial" w:cs="Arial" w:eastAsia="Arial" w:hAnsi="Arial"/>
          <w:color w:val="404040"/>
          <w:sz w:val="20"/>
          <w:szCs w:val="20"/>
        </w:rPr>
        <w:t xml:space="preserve">Auteur : Franck Yao</w:t>
      </w:r>
    </w:p>
    <w:p>
      <w:pPr>
        <w:spacing w:after="60" w:before="60"/>
        <w:jc w:val="center"/>
      </w:pPr>
      <w:r>
        <w:rPr>
          <w:rFonts w:ascii="Arial" w:cs="Arial" w:eastAsia="Arial" w:hAnsi="Arial"/>
          <w:color w:val="404040"/>
          <w:sz w:val="20"/>
          <w:szCs w:val="20"/>
        </w:rPr>
        <w:t xml:space="preserve">Date : Juin 2026</w:t>
      </w:r>
    </w:p>
    <w:p>
      <w:pPr>
        <w:spacing w:after="60" w:before="60"/>
        <w:jc w:val="center"/>
      </w:pPr>
      <w:r>
        <w:rPr>
          <w:rFonts w:ascii="Arial" w:cs="Arial" w:eastAsia="Arial" w:hAnsi="Arial"/>
          <w:color w:val="404040"/>
          <w:sz w:val="20"/>
          <w:szCs w:val="20"/>
        </w:rPr>
        <w:t xml:space="preserve">Dataset : IBM Telco Customer Churn 11.1.3+ — 7 043 clients</w:t>
      </w:r>
    </w:p>
    <w:p>
      <w:pPr>
        <w:spacing w:after="60" w:before="60"/>
        <w:jc w:val="center"/>
      </w:pPr>
      <w:r>
        <w:rPr>
          <w:rFonts w:ascii="Arial" w:cs="Arial" w:eastAsia="Arial" w:hAnsi="Arial"/>
          <w:color w:val="404040"/>
          <w:sz w:val="20"/>
          <w:szCs w:val="20"/>
        </w:rPr>
        <w:t xml:space="preserve">Notebook : 01_EDA_NPS_Prediction.ipynb</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1. Chargement et Inspection Initiale des Donnees</w:t>
      </w:r>
    </w:p>
    <w:p>
      <w:pPr>
        <w:pStyle w:val="Heading2"/>
        <w:spacing w:after="100" w:before="220"/>
      </w:pPr>
      <w:r>
        <w:rPr>
          <w:rFonts w:ascii="Arial" w:cs="Arial" w:eastAsia="Arial" w:hAnsi="Arial"/>
          <w:b/>
          <w:bCs/>
          <w:color w:val="2E75B6"/>
          <w:sz w:val="24"/>
          <w:szCs w:val="24"/>
        </w:rPr>
        <w:t xml:space="preserve">1.1 Fichiers charges</w:t>
      </w:r>
    </w:p>
    <w:p>
      <w:pPr>
        <w:spacing w:after="60" w:before="60"/>
      </w:pPr>
      <w:r>
        <w:rPr>
          <w:rFonts w:ascii="Arial" w:cs="Arial" w:eastAsia="Arial" w:hAnsi="Arial"/>
          <w:sz w:val="19"/>
          <w:szCs w:val="19"/>
        </w:rPr>
        <w:t xml:space="preserve">Nous utilisons les 5 fichiers separes IBM Telco 11.1.3+ plutot que le fichier consolide unique. Les fichiers separes contiennent des colonnes plus riches indisponibles dans le fichier unique, notamment Internet Type, Streaming Music, Total Revenue (services.xlsx) et Age, Married, Number of Dependents (demographics.xlsx).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46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Fichier</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Lignes</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Colonnes</w:t>
            </w:r>
          </w:p>
        </w:tc>
        <w:tc>
          <w:tcPr>
            <w:tcW w:type="dxa" w:w="4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Colonnes cles</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demographics.xlsx</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7 043</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9</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 ID | Genre, Age, Senior Citizen, Marie, Dependants, Nombre de Dependants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location.xlsx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7 043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9</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Customer ID | Pays, Etat, Ville, Code Postal, Latitude, Longitude</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population.xlsx</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1 671</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3</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ID, Code Postal, Population — joint sur Code Postal, pas sur Customer 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services.xlsx</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7 043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30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Customer ID | Contrat, Type Internet, Charge Mensuelle, Revenu Total, tous les abonnements services</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status.xlsx</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7 043</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11</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 ID | Score Satisfaction (cible), Churn Score, CLTV, Churn Label, Statut Client</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1.2 Strategie de fusion et resultat</w:t>
      </w:r>
    </w:p>
    <w:p>
      <w:pPr>
        <w:spacing w:after="60" w:before="60"/>
      </w:pPr>
      <w:r>
        <w:rPr>
          <w:rFonts w:ascii="Arial" w:cs="Arial" w:eastAsia="Arial" w:hAnsi="Arial"/>
          <w:sz w:val="19"/>
          <w:szCs w:val="19"/>
        </w:rPr>
        <w:t xml:space="preserve">Nous avons effectue des jointures LEFT JOIN sur Customer ID entre demographics, location, services et status. La population a ete jointe sur le Code Postal (1 671 codes postaux uniques, pas 7 043 clients). Les colonnes utilitaires dupliquees (Count, Quarter) ont ete supprimees avant la fusion pour eviter les conflits de colonnes.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60"/>
              <w:bottom w:type="dxa" w:w="120"/>
              <w:right w:type="dxa" w:w="160"/>
            </w:tcMar>
          </w:tcPr>
          <w:p>
            <w:r>
              <w:rPr>
                <w:rFonts w:ascii="Arial" w:cs="Arial" w:eastAsia="Arial" w:hAnsi="Arial"/>
                <w:b/>
                <w:bCs/>
                <w:color w:val="27600A"/>
                <w:sz w:val="19"/>
                <w:szCs w:val="19"/>
              </w:rPr>
              <w:t xml:space="preserve">Resultat de la fusion</w:t>
            </w:r>
          </w:p>
          <w:p>
            <w:pPr>
              <w:spacing w:before="60"/>
            </w:pPr>
            <w:r>
              <w:rPr>
                <w:rFonts w:ascii="Arial" w:cs="Arial" w:eastAsia="Arial" w:hAnsi="Arial"/>
                <w:sz w:val="18"/>
                <w:szCs w:val="18"/>
              </w:rPr>
              <w:t xml:space="preserve">7 043 clients | 53 colonnes apres fusion — zero perte de donnees sur Customer ID</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1.3 Valeurs manquantes apres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46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1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Manquant</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Explication et decision</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Offer</w:t>
            </w:r>
          </w:p>
        </w:tc>
        <w:tc>
          <w:tcPr>
            <w:tcW w:type="dxa" w:w="11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3 877</w:t>
            </w:r>
          </w:p>
        </w:tc>
        <w:tc>
          <w:tcPr>
            <w:tcW w:type="dxa" w:w="1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55%</w:t>
            </w:r>
          </w:p>
        </w:tc>
        <w:tc>
          <w:tcPr>
            <w:tcW w:type="dxa" w:w="46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Clients qui n'ont jamais recu d'offre marketing — 'Pas d'offre' est une categorie valide, pas une donnee manquante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Internet Type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1 526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21,7%</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Clients sans service internet n'ont pas de type — logiquement manquant, rempli avec 'Pas d'Internet'</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Churn Category</w:t>
            </w:r>
          </w:p>
        </w:tc>
        <w:tc>
          <w:tcPr>
            <w:tcW w:type="dxa" w:w="11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5 174</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73,5%</w:t>
            </w:r>
          </w:p>
        </w:tc>
        <w:tc>
          <w:tcPr>
            <w:tcW w:type="dxa" w:w="46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Seuls les clients qui ont resilie ont une raison — colonne de fuite, exclue entierement des features</w:t>
            </w:r>
          </w:p>
        </w:tc>
      </w:tr>
      <w:tr>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Reason</w:t>
            </w:r>
          </w:p>
        </w:tc>
        <w:tc>
          <w:tcPr>
            <w:tcW w:type="dxa" w:w="11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5 174</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73,5%</w:t>
            </w:r>
          </w:p>
        </w:tc>
        <w:tc>
          <w:tcPr>
            <w:tcW w:type="dxa" w:w="46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Identique a Churn Category — colonne de fuite, exclue entierement des features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60"/>
              <w:bottom w:type="dxa" w:w="120"/>
              <w:right w:type="dxa" w:w="160"/>
            </w:tcMar>
          </w:tcPr>
          <w:p>
            <w:r>
              <w:rPr>
                <w:rFonts w:ascii="Arial" w:cs="Arial" w:eastAsia="Arial" w:hAnsi="Arial"/>
                <w:b/>
                <w:bCs/>
                <w:color w:val="7A4A00"/>
                <w:sz w:val="19"/>
                <w:szCs w:val="19"/>
              </w:rPr>
              <w:t xml:space="preserve">Decision</w:t>
            </w:r>
          </w:p>
          <w:p>
            <w:pPr>
              <w:spacing w:before="60"/>
            </w:pPr>
            <w:r>
              <w:rPr>
                <w:rFonts w:ascii="Arial" w:cs="Arial" w:eastAsia="Arial" w:hAnsi="Arial"/>
                <w:sz w:val="18"/>
                <w:szCs w:val="18"/>
              </w:rPr>
              <w:t xml:space="preserve">Aucune imputation necessaire. Toutes les valeurs manquantes sont logiquement justifiees. Offer et Internet Type traites lors de la phase de feature engineering.</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1.4 Categorisation des colonnes</w:t>
      </w:r>
    </w:p>
    <w:p>
      <w:pPr>
        <w:spacing w:after="60" w:before="60"/>
      </w:pPr>
      <w:r>
        <w:rPr>
          <w:rFonts w:ascii="Arial" w:cs="Arial" w:eastAsia="Arial" w:hAnsi="Arial"/>
          <w:sz w:val="19"/>
          <w:szCs w:val="19"/>
        </w:rPr>
        <w:t xml:space="preserve">Les 53 colonnes ont ete categoriees avant toute analyse pour guider la selection des features, la gestion des fuites et l'audit d'equite.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Categorie</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Nb</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 dans le projet</w:t>
            </w:r>
          </w:p>
        </w:tc>
      </w:tr>
      <w:tr>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Identite</w:t>
            </w:r>
          </w:p>
        </w:tc>
        <w:tc>
          <w:tcPr>
            <w:tcW w:type="dxa" w:w="10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1</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Customer ID — suivi uniquement, jamais utilise comme feature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Demographie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Genre, Age, Senior Citizen, Marie, Dependants, Nombre de Dependants — features + variables d'audit d'equite</w:t>
            </w:r>
          </w:p>
        </w:tc>
      </w:tr>
      <w:tr>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Localisation</w:t>
            </w:r>
          </w:p>
        </w:tc>
        <w:tc>
          <w:tcPr>
            <w:tcW w:type="dxa" w:w="10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7</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Pays, Etat, Ville, Code Postal, Latitude, Longitude, Population — features geographiques. Ville exclue (trop granulaire, plus de 1 100 valeurs uniques)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19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Contrat, Type Internet, tous les abonnements (telephone, internet, streaming, securite) — features predictives cles</w:t>
            </w:r>
          </w:p>
        </w:tc>
      </w:tr>
      <w:tr>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Charges</w:t>
            </w:r>
          </w:p>
        </w:tc>
        <w:tc>
          <w:tcPr>
            <w:tcW w:type="dxa" w:w="10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8</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 Mensuelle, Revenu Total, Charges Totales, ratios derives — features financieres</w:t>
            </w:r>
          </w:p>
        </w:tc>
      </w:tr>
      <w:tr>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Cible</w:t>
            </w:r>
          </w:p>
        </w:tc>
        <w:tc>
          <w:tcPr>
            <w:tcW w:type="dxa" w:w="1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w:t>
            </w:r>
          </w:p>
        </w:tc>
        <w:tc>
          <w:tcPr>
            <w:tcW w:type="dxa" w:w="65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Score de Satisfaction — source du label NPS, exclue des features du modele apres le mapping</w:t>
            </w:r>
          </w:p>
        </w:tc>
      </w:tr>
      <w:tr>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Fuite (Leakage)</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Score, Churn Value, Churn Label, CLTV, Statut Client, Churn Category, Churn Reason — EXCLUS de toutes les features</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2. Construction de la Variable Cible NPS (Section 4.1)</w:t>
      </w:r>
    </w:p>
    <w:p>
      <w:pPr>
        <w:pStyle w:val="Heading2"/>
        <w:spacing w:after="100" w:before="220"/>
      </w:pPr>
      <w:r>
        <w:rPr>
          <w:rFonts w:ascii="Arial" w:cs="Arial" w:eastAsia="Arial" w:hAnsi="Arial"/>
          <w:b/>
          <w:bCs/>
          <w:color w:val="2E75B6"/>
          <w:sz w:val="24"/>
          <w:szCs w:val="24"/>
        </w:rPr>
        <w:t xml:space="preserve">2.1 Distribution du Score de Satisfaction</w:t>
      </w:r>
    </w:p>
    <w:p>
      <w:pPr>
        <w:spacing w:after="60" w:before="60"/>
      </w:pPr>
      <w:r>
        <w:rPr>
          <w:rFonts w:ascii="Arial" w:cs="Arial" w:eastAsia="Arial" w:hAnsi="Arial"/>
          <w:sz w:val="19"/>
          <w:szCs w:val="19"/>
        </w:rPr>
        <w:t xml:space="preserve">Le Score de Satisfaction est le seul proxy disponible pour le NPS dans ce dataset. Il est collecte aupres des clients sur une echelle de 1 a 5. Zero valeur manquante — un signal fiable.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Clients</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Pourcentage</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 semantique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 — Tres insatisfait</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922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13,1%</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Fortement insatisfait — risque eleve de resiliation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 — Insatisfait</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518</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7,4%</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Insatisfait</w:t>
            </w:r>
          </w:p>
        </w:tc>
      </w:tr>
      <w:tr>
        <w:tc>
          <w:tcPr>
            <w:tcW w:type="dxa" w:w="2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 — Neutre</w:t>
            </w:r>
          </w:p>
        </w:tc>
        <w:tc>
          <w:tcPr>
            <w:tcW w:type="dxa" w:w="16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2 665</w:t>
            </w:r>
          </w:p>
        </w:tc>
        <w:tc>
          <w:tcPr>
            <w:tcW w:type="dxa" w:w="16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37,8%</w:t>
            </w:r>
          </w:p>
        </w:tc>
        <w:tc>
          <w:tcPr>
            <w:tcW w:type="dxa" w:w="39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Ni satisfait ni insatisfait — le groupe le plus important</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 — Satisfait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1 789</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25,4%</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Client satisfait</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 — Tres satisfait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1 149</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16,3%</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Tres satisfait — ambassadeur potentiel de la marque</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2.2 Decision de Mapping — Notre Choix vs Baseline Artefact</w:t>
      </w:r>
    </w:p>
    <w:p>
      <w:pPr>
        <w:spacing w:after="60" w:before="60"/>
      </w:pPr>
      <w:r>
        <w:rPr>
          <w:rFonts w:ascii="Arial" w:cs="Arial" w:eastAsia="Arial" w:hAnsi="Arial"/>
          <w:sz w:val="19"/>
          <w:szCs w:val="19"/>
        </w:rPr>
        <w:t xml:space="preserve">Le challenge propose un mapping de base : Score 5 = Promoteur, Score 4 = Passif, Score &lt;= 3 = Detracteur. Mais il precise explicitement : 'This is a starting point, not a recipe. You are encouraged to refine, challenge, or enrich this mapping.'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Baseline Artefact</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Notre mapping (retenu)</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2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Fortement insatisfait</w:t>
            </w:r>
          </w:p>
        </w:tc>
      </w:tr>
      <w:tr>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2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Insatisfait</w:t>
            </w:r>
          </w:p>
        </w:tc>
      </w:tr>
      <w:tr>
        <w:tc>
          <w:tcPr>
            <w:tcW w:type="dxa" w:w="16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w:t>
            </w:r>
          </w:p>
        </w:tc>
        <w:tc>
          <w:tcPr>
            <w:tcW w:type="dxa" w:w="2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2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Passif</w:t>
            </w:r>
          </w:p>
        </w:tc>
        <w:tc>
          <w:tcPr>
            <w:tcW w:type="dxa" w:w="29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Neutre — diverge du baseline</w:t>
            </w:r>
          </w:p>
        </w:tc>
      </w:tr>
      <w:tr>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w:t>
            </w:r>
          </w:p>
        </w:tc>
        <w:tc>
          <w:tcPr>
            <w:tcW w:type="dxa" w:w="2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Passif</w:t>
            </w:r>
          </w:p>
        </w:tc>
        <w:tc>
          <w:tcPr>
            <w:tcW w:type="dxa" w:w="24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Promoteur</w:t>
            </w:r>
          </w:p>
        </w:tc>
        <w:tc>
          <w:tcPr>
            <w:tcW w:type="dxa" w:w="2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Satisfait</w:t>
            </w:r>
          </w:p>
        </w:tc>
      </w:tr>
      <w:tr>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w:t>
            </w:r>
          </w:p>
        </w:tc>
        <w:tc>
          <w:tcPr>
            <w:tcW w:type="dxa" w:w="24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Promoteur</w:t>
            </w:r>
          </w:p>
        </w:tc>
        <w:tc>
          <w:tcPr>
            <w:tcW w:type="dxa" w:w="24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Promoteur</w:t>
            </w:r>
          </w:p>
        </w:tc>
        <w:tc>
          <w:tcPr>
            <w:tcW w:type="dxa" w:w="2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Tres satisfait</w:t>
            </w:r>
          </w:p>
        </w:tc>
      </w:tr>
    </w:tbl>
    <w:p>
      <w:pPr>
        <w:spacing w:after="60" w:before="60"/>
      </w:pPr>
      <w:r>
        <w:t xml:space="preserve"/>
      </w:r>
    </w:p>
    <w:p>
      <w:pPr>
        <w:pStyle w:val="Heading3"/>
        <w:spacing w:after="80" w:before="160"/>
      </w:pPr>
      <w:r>
        <w:rPr>
          <w:rFonts w:ascii="Arial" w:cs="Arial" w:eastAsia="Arial" w:hAnsi="Arial"/>
          <w:b/>
          <w:bCs/>
          <w:color w:val="404040"/>
          <w:sz w:val="20"/>
          <w:szCs w:val="20"/>
        </w:rPr>
        <w:t xml:space="preserve">Justification de notre mapping ajuste</w:t>
      </w:r>
    </w:p>
    <w:p>
      <w:pPr>
        <w:pStyle w:val="ListParagraph"/>
        <w:numPr>
          <w:ilvl w:val="0"/>
          <w:numId w:val="2"/>
        </w:numPr>
        <w:spacing w:after="40" w:before="40"/>
      </w:pPr>
      <w:r>
        <w:rPr>
          <w:rFonts w:ascii="Arial" w:cs="Arial" w:eastAsia="Arial" w:hAnsi="Arial"/>
          <w:sz w:val="19"/>
          <w:szCs w:val="19"/>
        </w:rPr>
        <w:t xml:space="preserve">Le Score 3 represente 37,8% de toute la base clients — le groupe le plus important. Le classer comme Detracteur produirait 58,3% de Detracteurs, une majorite peu realiste pour un operateur telecom.</w:t>
      </w:r>
    </w:p>
    <w:p>
      <w:pPr>
        <w:pStyle w:val="ListParagraph"/>
        <w:numPr>
          <w:ilvl w:val="0"/>
          <w:numId w:val="2"/>
        </w:numPr>
        <w:spacing w:after="40" w:before="40"/>
      </w:pPr>
      <w:r>
        <w:rPr>
          <w:rFonts w:ascii="Arial" w:cs="Arial" w:eastAsia="Arial" w:hAnsi="Arial"/>
          <w:sz w:val="19"/>
          <w:szCs w:val="19"/>
        </w:rPr>
        <w:t xml:space="preserve">Le Score 3 signifie semantiquement Neutre, ce qui s'aligne avec la definition NPS du Passif (NPS 7-8) : ni assez satisfait pour promouvoir, ni assez insatisfait pour detourner.</w:t>
      </w:r>
    </w:p>
    <w:p>
      <w:pPr>
        <w:pStyle w:val="ListParagraph"/>
        <w:numPr>
          <w:ilvl w:val="0"/>
          <w:numId w:val="2"/>
        </w:numPr>
        <w:spacing w:after="40" w:before="40"/>
      </w:pPr>
      <w:r>
        <w:rPr>
          <w:rFonts w:ascii="Arial" w:cs="Arial" w:eastAsia="Arial" w:hAnsi="Arial"/>
          <w:sz w:val="19"/>
          <w:szCs w:val="19"/>
        </w:rPr>
        <w:t xml:space="preserve">Validation empirique via le Churn Score : le Churn Score moyen des clients Score 3 est de 55,0, proche des clients satisfaits (50,2), loin des scores vraiment insatisfaits 1-2 (81,9). Cela confirme que le Score 3 se comporte comme un Passif, pas un Detracteur.</w:t>
      </w:r>
    </w:p>
    <w:p>
      <w:pPr>
        <w:pStyle w:val="ListParagraph"/>
        <w:numPr>
          <w:ilvl w:val="0"/>
          <w:numId w:val="2"/>
        </w:numPr>
        <w:spacing w:after="40" w:before="40"/>
      </w:pPr>
      <w:r>
        <w:rPr>
          <w:rFonts w:ascii="Arial" w:cs="Arial" w:eastAsia="Arial" w:hAnsi="Arial"/>
          <w:sz w:val="19"/>
          <w:szCs w:val="19"/>
        </w:rPr>
        <w:t xml:space="preserve">Notre mapping produit une distribution plus equilibree et plus realiste (20,4% / 37,8% / 41,7%) vs le baseline Artefact qui donnerait 58,3% / 25,4% / 16,3%.</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2.3 Distribution NPS apres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Classe NPS</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Clients</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Pourcentage</w:t>
            </w:r>
          </w:p>
        </w:tc>
        <w:tc>
          <w:tcPr>
            <w:tcW w:type="dxa" w:w="3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1 440</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20,4%</w:t>
            </w:r>
          </w:p>
        </w:tc>
        <w:tc>
          <w:tcPr>
            <w:tcW w:type="dxa" w:w="3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Classe la plus petite — scores 1 et 2 uniquement</w:t>
            </w:r>
          </w:p>
        </w:tc>
      </w:tr>
      <w:tr>
        <w:tc>
          <w:tcPr>
            <w:tcW w:type="dxa" w:w="2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Passif</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2 665</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37,8%</w:t>
            </w:r>
          </w:p>
        </w:tc>
        <w:tc>
          <w:tcPr>
            <w:tcW w:type="dxa" w:w="37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Classe la plus grande — score 3 (clients neutres)</w:t>
            </w:r>
          </w:p>
        </w:tc>
      </w:tr>
      <w:tr>
        <w:tc>
          <w:tcPr>
            <w:tcW w:type="dxa" w:w="2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Promoteur</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2 938</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41,7%</w:t>
            </w:r>
          </w:p>
        </w:tc>
        <w:tc>
          <w:tcPr>
            <w:tcW w:type="dxa" w:w="37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Scores 4 et 5 — clients satisfaits et tres satisfaits</w:t>
            </w:r>
          </w:p>
        </w:tc>
      </w:tr>
    </w:tbl>
    <w:p>
      <w:pPr>
        <w:spacing w:after="60" w:before="60"/>
      </w:pPr>
      <w:r>
        <w:t xml:space="preserve"/>
      </w:r>
    </w:p>
    <w:p>
      <w:pPr>
        <w:spacing w:after="50" w:before="50"/>
      </w:pPr>
      <w:r>
        <w:rPr>
          <w:rFonts w:ascii="Arial" w:cs="Arial" w:eastAsia="Arial" w:hAnsi="Arial"/>
          <w:b/>
          <w:bCs/>
          <w:sz w:val="19"/>
          <w:szCs w:val="19"/>
        </w:rPr>
        <w:t xml:space="preserve">Ratio de desequilibre des classes : </w:t>
      </w:r>
      <w:r>
        <w:rPr>
          <w:rFonts w:ascii="Arial" w:cs="Arial" w:eastAsia="Arial" w:hAnsi="Arial"/>
          <w:sz w:val="19"/>
          <w:szCs w:val="19"/>
        </w:rPr>
        <w:t xml:space="preserve">1,9x (Passif vs Detracteur) — desequilibre modere, gerable avec class_weight='balanced' lors de la modelisation.</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3. Gestion des Fuites de Donnees (Section 4.1)</w:t>
      </w:r>
    </w:p>
    <w:p>
      <w:pPr>
        <w:pStyle w:val="Heading2"/>
        <w:spacing w:after="100" w:before="220"/>
      </w:pPr>
      <w:r>
        <w:rPr>
          <w:rFonts w:ascii="Arial" w:cs="Arial" w:eastAsia="Arial" w:hAnsi="Arial"/>
          <w:b/>
          <w:bCs/>
          <w:color w:val="2E75B6"/>
          <w:sz w:val="24"/>
          <w:szCs w:val="24"/>
        </w:rPr>
        <w:t xml:space="preserve">3.1 Colonnes de fuite identifiees</w:t>
      </w:r>
    </w:p>
    <w:p>
      <w:pPr>
        <w:spacing w:after="60" w:before="60"/>
      </w:pPr>
      <w:r>
        <w:rPr>
          <w:rFonts w:ascii="Arial" w:cs="Arial" w:eastAsia="Arial" w:hAnsi="Arial"/>
          <w:sz w:val="19"/>
          <w:szCs w:val="19"/>
        </w:rPr>
        <w:t xml:space="preserve">Sept colonnes du fichier status.xlsx ont ete identifiees comme risques de fuite de donnees et exclues de toutes les features du modele. Ces colonnes contiennent des informations qui ne seraient pas disponibles au moment de la prediction en production reelle.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Raison de la fuite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Score</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Calcule par IBM en utilisant les memes signaux comportementaux que nos features — reference circulaire. Moyenne : 81,86 pour les Detracteurs vs 50,23 pour les Promoteurs (ecart de 31 points = proxy direct du NPS)</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Value</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Encodage binaire indiquant si le client a resilie — information future indisponible au moment de la prediction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Label</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Version texte de Churn Value (Oui/Non) — meme probleme de fuite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Customer Status</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Indique directement Resilie / Reste / Rejoint — fuite de cible post-evenement evidente</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CLTV</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Valeur Vie Client calculee par IBM — incorpore des signaux de satisfaction et de resiliation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Category</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Raison de la resiliation — disponible uniquement apres que le client soit parti. Pas disponible au moment de la prediction.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Churn Reason</w:t>
            </w:r>
          </w:p>
        </w:tc>
        <w:tc>
          <w:tcPr>
            <w:tcW w:type="dxa" w:w="7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Raison detaillee de la resiliation — identique a Churn Category, information post-evenement</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3.2 Preuve mathematique de la fuite</w:t>
      </w:r>
    </w:p>
    <w:p>
      <w:pPr>
        <w:spacing w:after="60" w:before="60"/>
      </w:pPr>
      <w:r>
        <w:rPr>
          <w:rFonts w:ascii="Arial" w:cs="Arial" w:eastAsia="Arial" w:hAnsi="Arial"/>
          <w:sz w:val="19"/>
          <w:szCs w:val="19"/>
        </w:rPr>
        <w:t xml:space="preserve">Nous avons calcule le Churn Score moyen par classe NPS pour demontrer la fuite de maniere quantitative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Classe NPS</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Churn Score moyen</w:t>
            </w:r>
          </w:p>
        </w:tc>
        <w:tc>
          <w:tcPr>
            <w:tcW w:type="dxa" w:w="5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2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81,86</w:t>
            </w:r>
          </w:p>
        </w:tc>
        <w:tc>
          <w:tcPr>
            <w:tcW w:type="dxa" w:w="51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Risque de resiliation tres eleve — fortement correle au NPS</w:t>
            </w:r>
          </w:p>
        </w:tc>
      </w:tr>
      <w:tr>
        <w:tc>
          <w:tcPr>
            <w:tcW w:type="dxa" w:w="2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Passif</w:t>
            </w:r>
          </w:p>
        </w:tc>
        <w:tc>
          <w:tcPr>
            <w:tcW w:type="dxa" w:w="2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55,00</w:t>
            </w:r>
          </w:p>
        </w:tc>
        <w:tc>
          <w:tcPr>
            <w:tcW w:type="dxa" w:w="51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Risque de resiliation modere — aligne avec le NPS neutre</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Promoteur</w:t>
            </w:r>
          </w:p>
        </w:tc>
        <w:tc>
          <w:tcPr>
            <w:tcW w:type="dxa" w:w="2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50,23</w:t>
            </w:r>
          </w:p>
        </w:tc>
        <w:tc>
          <w:tcPr>
            <w:tcW w:type="dxa" w:w="51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Risque de resiliation faible — fortement correle au NPS eleve</w:t>
            </w:r>
          </w:p>
        </w:tc>
      </w:tr>
    </w:tbl>
    <w:p>
      <w:pPr>
        <w:spacing w:after="60" w:before="60"/>
      </w:pPr>
      <w:r>
        <w:t xml:space="preserve"/>
      </w:r>
    </w:p>
    <w:p>
      <w:pPr>
        <w:spacing w:after="60" w:before="60"/>
      </w:pPr>
      <w:r>
        <w:rPr>
          <w:rFonts w:ascii="Arial" w:cs="Arial" w:eastAsia="Arial" w:hAnsi="Arial"/>
          <w:sz w:val="19"/>
          <w:szCs w:val="19"/>
        </w:rPr>
        <w:t xml:space="preserve">L'ecart de 31 points entre Detracteur (81,86) et Promoteur (50,23) confirme que le Churn Score est un proxy quasi-parfait du NPS. L'inclure produirait des performances de modele artificiellement elevees sans aucune valeur predictive reelle en production.</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3.3 Observation critique — Le Score de Satisfaction est Post-Evenement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7A4A00"/>
                <w:sz w:val="19"/>
                <w:szCs w:val="19"/>
              </w:rPr>
              <w:t xml:space="preserve">Limite importante reconnue et documentee</w:t>
            </w:r>
          </w:p>
          <w:p>
            <w:pPr>
              <w:spacing w:before="60"/>
            </w:pPr>
            <w:r>
              <w:rPr>
                <w:rFonts w:ascii="Arial" w:cs="Arial" w:eastAsia="Arial" w:hAnsi="Arial"/>
                <w:sz w:val="18"/>
                <w:szCs w:val="18"/>
              </w:rPr>
              <w:t xml:space="preserve">L'analyse du taux de resiliation a revele une alignment parfaite : Detracteur = 100% resilie, Passif = 16,1% resilie, Promoteur = 0% resilie. Cela revele que dans ce dataset IBM, le Score de Satisfaction et la Valeur de Resiliation sont correles par construction — IBM a attribue les scores 1-2 exclusivement aux clients resilies et les scores 4-5 exclusivement aux clients restes. Le Score 3 est le seul groupe genuinement ambigu (429 resilies + 2 236 restes). Dans un contexte reel, les clients insatisfaits ne resicient pas toujours immediatement. Nous reconnaissons cela comme une limite du dataset. Cela renforce encore la necessite d'exclure toutes les colonnes liees a la resiliation des features du modele.</w:t>
            </w:r>
          </w:p>
        </w:tc>
      </w:tr>
    </w:tbl>
    <w:p>
      <w:pPr>
        <w:spacing w:after="60" w:before="60"/>
      </w:pPr>
      <w:r>
        <w:t xml:space="preserve"/>
      </w:r>
    </w:p>
    <w:p>
      <w:pPr>
        <w:spacing w:after="50" w:before="50"/>
      </w:pPr>
      <w:r>
        <w:rPr>
          <w:rFonts w:ascii="Arial" w:cs="Arial" w:eastAsia="Arial" w:hAnsi="Arial"/>
          <w:b/>
          <w:bCs/>
          <w:sz w:val="19"/>
          <w:szCs w:val="19"/>
        </w:rPr>
        <w:t xml:space="preserve">Conclusion : </w:t>
      </w:r>
      <w:r>
        <w:rPr>
          <w:rFonts w:ascii="Arial" w:cs="Arial" w:eastAsia="Arial" w:hAnsi="Arial"/>
          <w:sz w:val="19"/>
          <w:szCs w:val="19"/>
        </w:rPr>
        <w:t xml:space="preserve">Notre mapping NPS reste valide comme cible de prediction. Le modele apprend a identifier les patterns comportementaux et contractuels qui predisent l'insatisfaction. La limite du dataset est documentee et sera mentionnee dans le write-up final comme requis par la Section 4.7.</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4. EDA — Analyse des Variables Numeriques</w:t>
      </w:r>
    </w:p>
    <w:p>
      <w:pPr>
        <w:pStyle w:val="Heading2"/>
        <w:spacing w:after="100" w:before="220"/>
      </w:pPr>
      <w:r>
        <w:rPr>
          <w:rFonts w:ascii="Arial" w:cs="Arial" w:eastAsia="Arial" w:hAnsi="Arial"/>
          <w:b/>
          <w:bCs/>
          <w:color w:val="2E75B6"/>
          <w:sz w:val="24"/>
          <w:szCs w:val="24"/>
        </w:rPr>
        <w:t xml:space="preserve">4.1 Moyennes par classe NPS</w:t>
      </w:r>
    </w:p>
    <w:p>
      <w:pPr>
        <w:spacing w:after="60" w:before="60"/>
      </w:pPr>
      <w:r>
        <w:rPr>
          <w:rFonts w:ascii="Arial" w:cs="Arial" w:eastAsia="Arial" w:hAnsi="Arial"/>
          <w:sz w:val="19"/>
          <w:szCs w:val="19"/>
        </w:rPr>
        <w:t xml:space="preserve">Calcule depuis la CELLULE 8 du notebook. Les valeurs representent la moyenne arithmetique pour chaque classe NPS.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053"/>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Detracteur</w:t>
            </w:r>
          </w:p>
        </w:tc>
        <w:tc>
          <w:tcPr>
            <w:tcW w:type="dxa" w:w="2053"/>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Passif</w:t>
            </w:r>
          </w:p>
        </w:tc>
        <w:tc>
          <w:tcPr>
            <w:tcW w:type="dxa" w:w="2054"/>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Promoteur</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Age </w:t>
            </w:r>
            <w:r>
              <w:rPr>
                <w:rFonts w:ascii="Arial" w:cs="Arial" w:eastAsia="Arial" w:hAnsi="Arial"/>
                <w:sz w:val="17"/>
                <w:szCs w:val="17"/>
              </w:rPr>
              <w:t xml:space="preserve">(annees)</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49,78</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45,95</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45,41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Anciennete </w:t>
            </w:r>
            <w:r>
              <w:rPr>
                <w:rFonts w:ascii="Arial" w:cs="Arial" w:eastAsia="Arial" w:hAnsi="Arial"/>
                <w:sz w:val="17"/>
                <w:szCs w:val="17"/>
              </w:rPr>
              <w:t xml:space="preserve">(mois)</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18,17</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36,02</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36,06</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Charge Mensuelle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74,97</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66,23</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58,42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Charges Totales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1 566,72</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2 599,94</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2 340,30</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Revenu Total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2 008,00</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3 433,74</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3 175,19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Nombre de Parrainages</w:t>
            </w:r>
            <w:r>
              <w:rPr>
                <w:rFonts w:ascii="Arial" w:cs="Arial" w:eastAsia="Arial" w:hAnsi="Arial"/>
                <w:sz w:val="17"/>
                <w:szCs w:val="17"/>
              </w:rPr>
              <w:t xml:space="preserve"/>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0,56</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2,25</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2,37</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Charges Longue Distance Totales </w:t>
            </w:r>
            <w:r>
              <w:rPr>
                <w:rFonts w:ascii="Arial" w:cs="Arial" w:eastAsia="Arial" w:hAnsi="Arial"/>
                <w:sz w:val="17"/>
                <w:szCs w:val="17"/>
              </w:rPr>
              <w:t xml:space="preserv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435,58</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828,79</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830,48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Telechargement Mensuel Moyen </w:t>
            </w:r>
            <w:r>
              <w:rPr>
                <w:rFonts w:ascii="Arial" w:cs="Arial" w:eastAsia="Arial" w:hAnsi="Arial"/>
                <w:sz w:val="17"/>
                <w:szCs w:val="17"/>
              </w:rPr>
              <w:t xml:space="preserve">(Go)</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22,41</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21,50</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18,69</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b/>
                <w:bCs/>
                <w:sz w:val="17"/>
                <w:szCs w:val="17"/>
              </w:rPr>
              <w:t xml:space="preserve">Nombre de Personnes a Charge</w:t>
            </w:r>
            <w:r>
              <w:rPr>
                <w:rFonts w:ascii="Arial" w:cs="Arial" w:eastAsia="Arial" w:hAnsi="Arial"/>
                <w:sz w:val="17"/>
                <w:szCs w:val="17"/>
              </w:rPr>
              <w:t xml:space="preserve"/>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0,12</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0,53</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0,58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7"/>
                <w:szCs w:val="17"/>
              </w:rPr>
              <w:t xml:space="preserve">Population </w:t>
            </w:r>
            <w:r>
              <w:rPr>
                <w:rFonts w:ascii="Arial" w:cs="Arial" w:eastAsia="Arial" w:hAnsi="Arial"/>
                <w:sz w:val="17"/>
                <w:szCs w:val="17"/>
              </w:rPr>
              <w:t xml:space="preserve">(zone)</w:t>
            </w:r>
          </w:p>
        </w:tc>
        <w:tc>
          <w:tcPr>
            <w:tcW w:type="dxa" w:w="2053"/>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23 801</w:t>
            </w:r>
          </w:p>
        </w:tc>
        <w:tc>
          <w:tcPr>
            <w:tcW w:type="dxa" w:w="2053"/>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21 514</w:t>
            </w:r>
          </w:p>
        </w:tc>
        <w:tc>
          <w:tcPr>
            <w:tcW w:type="dxa" w:w="2054"/>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21 893</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4.2 Signaux cles identifies</w:t>
      </w:r>
    </w:p>
    <w:p>
      <w:pPr>
        <w:pStyle w:val="ListParagraph"/>
        <w:numPr>
          <w:ilvl w:val="0"/>
          <w:numId w:val="2"/>
        </w:numPr>
        <w:spacing w:after="40" w:before="40"/>
      </w:pPr>
      <w:r>
        <w:rPr>
          <w:rFonts w:ascii="Arial" w:cs="Arial" w:eastAsia="Arial" w:hAnsi="Arial"/>
          <w:sz w:val="19"/>
          <w:szCs w:val="19"/>
        </w:rPr>
        <w:t xml:space="preserve">Anciennete (mois) : Les Detracteurs ont en moyenne 18,17 mois vs 36,02 pour les Passifs et 36,06 pour les Promoteurs. Les 12-18 premiers mois sont critiques — les nouveaux clients detractent le plus.</w:t>
      </w:r>
    </w:p>
    <w:p>
      <w:pPr>
        <w:pStyle w:val="ListParagraph"/>
        <w:numPr>
          <w:ilvl w:val="0"/>
          <w:numId w:val="2"/>
        </w:numPr>
        <w:spacing w:after="40" w:before="40"/>
      </w:pPr>
      <w:r>
        <w:rPr>
          <w:rFonts w:ascii="Arial" w:cs="Arial" w:eastAsia="Arial" w:hAnsi="Arial"/>
          <w:sz w:val="19"/>
          <w:szCs w:val="19"/>
        </w:rPr>
        <w:t xml:space="preserve">Nombre de Parrainages : 0,56 pour les Detracteurs vs 2,37 pour les Promoteurs (4,2x moins). Un proxy de fidelite quasi-parfait.</w:t>
      </w:r>
    </w:p>
    <w:p>
      <w:pPr>
        <w:pStyle w:val="ListParagraph"/>
        <w:numPr>
          <w:ilvl w:val="0"/>
          <w:numId w:val="2"/>
        </w:numPr>
        <w:spacing w:after="40" w:before="40"/>
      </w:pPr>
      <w:r>
        <w:rPr>
          <w:rFonts w:ascii="Arial" w:cs="Arial" w:eastAsia="Arial" w:hAnsi="Arial"/>
          <w:sz w:val="19"/>
          <w:szCs w:val="19"/>
        </w:rPr>
        <w:t xml:space="preserve">Charge Mensuelle : Diminution reguliere de 74,97$ (Detracteur) a 58,42$ (Promoteur). Les Detracteurs paient plus et sont moins satisfaits — mauvaise perception de la valeur.</w:t>
      </w:r>
    </w:p>
    <w:p>
      <w:pPr>
        <w:pStyle w:val="ListParagraph"/>
        <w:numPr>
          <w:ilvl w:val="0"/>
          <w:numId w:val="2"/>
        </w:numPr>
        <w:spacing w:after="40" w:before="40"/>
      </w:pPr>
      <w:r>
        <w:rPr>
          <w:rFonts w:ascii="Arial" w:cs="Arial" w:eastAsia="Arial" w:hAnsi="Arial"/>
          <w:sz w:val="19"/>
          <w:szCs w:val="19"/>
        </w:rPr>
        <w:t xml:space="preserve">Charges Longue Distance Totales : 435 pour les Detracteurs vs 830 pour les autres. Les Detracteurs utilisent moins le reseau — signal de faible engagement.</w:t>
      </w:r>
    </w:p>
    <w:p>
      <w:pPr>
        <w:pStyle w:val="ListParagraph"/>
        <w:numPr>
          <w:ilvl w:val="0"/>
          <w:numId w:val="2"/>
        </w:numPr>
        <w:spacing w:after="40" w:before="40"/>
      </w:pPr>
      <w:r>
        <w:rPr>
          <w:rFonts w:ascii="Arial" w:cs="Arial" w:eastAsia="Arial" w:hAnsi="Arial"/>
          <w:sz w:val="19"/>
          <w:szCs w:val="19"/>
        </w:rPr>
        <w:t xml:space="preserve">Nombre de Personnes a Charge : 0,12 pour les Detracteurs vs 0,58 pour les Promoteurs. Les clients en famille sont significativement plus fidelises.</w:t>
      </w:r>
    </w:p>
    <w:p>
      <w:pPr>
        <w:pStyle w:val="ListParagraph"/>
        <w:numPr>
          <w:ilvl w:val="0"/>
          <w:numId w:val="2"/>
        </w:numPr>
        <w:spacing w:after="40" w:before="40"/>
      </w:pPr>
      <w:r>
        <w:rPr>
          <w:rFonts w:ascii="Arial" w:cs="Arial" w:eastAsia="Arial" w:hAnsi="Arial"/>
          <w:sz w:val="19"/>
          <w:szCs w:val="19"/>
        </w:rPr>
        <w:t xml:space="preserve">Age : Les Detracteurs sont legerement plus ages (49,78 vs 45,41). Pertinent pour l'audit d'equite.</w:t>
      </w:r>
    </w:p>
    <w:p>
      <w:pPr>
        <w:pStyle w:val="ListParagraph"/>
        <w:numPr>
          <w:ilvl w:val="0"/>
          <w:numId w:val="2"/>
        </w:numPr>
        <w:spacing w:after="40" w:before="40"/>
      </w:pPr>
      <w:r>
        <w:rPr>
          <w:rFonts w:ascii="Arial" w:cs="Arial" w:eastAsia="Arial" w:hAnsi="Arial"/>
          <w:sz w:val="19"/>
          <w:szCs w:val="19"/>
        </w:rPr>
        <w:t xml:space="preserve">Population : Les Detracteurs vivent dans des zones plus denses (23 801 vs 21 514). Signal geographique modeste.</w:t>
      </w:r>
    </w:p>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5. EDA — Analyse des Variables Categorielles</w:t>
      </w:r>
    </w:p>
    <w:p>
      <w:pPr>
        <w:pStyle w:val="Heading2"/>
        <w:spacing w:after="100" w:before="220"/>
      </w:pPr>
      <w:r>
        <w:rPr>
          <w:rFonts w:ascii="Arial" w:cs="Arial" w:eastAsia="Arial" w:hAnsi="Arial"/>
          <w:b/>
          <w:bCs/>
          <w:color w:val="2E75B6"/>
          <w:sz w:val="24"/>
          <w:szCs w:val="24"/>
        </w:rPr>
        <w:t xml:space="preserve">5.1 Taux de Detracteurs par variable categorielle</w:t>
      </w:r>
    </w:p>
    <w:p>
      <w:pPr>
        <w:spacing w:after="60" w:before="60"/>
      </w:pPr>
      <w:r>
        <w:rPr>
          <w:rFonts w:ascii="Arial" w:cs="Arial" w:eastAsia="Arial" w:hAnsi="Arial"/>
          <w:sz w:val="19"/>
          <w:szCs w:val="19"/>
        </w:rPr>
        <w:t xml:space="preserve">Calcule depuis la CELLULE 9. Les valeurs indiquent le pourcentage de Detracteurs au sein de chaque modalite. Delta = max - min au sein de la variable.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000"/>
        <w:gridCol w:w="29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 / Modalite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Faible Detracteur</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Fort Detracteur</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Delta</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 et Decision</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Contrat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Deux ans : 1,6%</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Mensuel : 35,8%</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34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TRES FORT — feature : is_month_to_month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Offre</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Offre A : 4,8%</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Offre E : 39,1%</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34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TRES FORT — feature : is_offer_E</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Personnes a charge</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Oui : 5,2%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Non : 25,0%</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20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TRES FORT — feature : has_family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Moyen de paiement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Carte bancaire : 11,1%</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Cheque postal : 29,9%</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19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FORT — feature : is_auto_pay (corr 0,044, exclu apres analyse de correlation)</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Type Internet</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DSL : 14,9%</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Fibre Optique : 31,2%</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16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FORT — feature : has_fiber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Senior Citizen</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Non : 18,3%</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Oui : 31,8%</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13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FORT — feature : is_senior (aussi variable d'equite)</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Support Technique Premium</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Oui : 12,2%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Non : 23,8%</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12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FORT — feature : has_premium_support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Marie</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Oui : 15,5%</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Non : 25,0%</w:t>
            </w:r>
          </w:p>
        </w:tc>
        <w:tc>
          <w:tcPr>
            <w:tcW w:type="dxa" w:w="1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9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MODERE — exclu (multicolinearite avec has_referred : 0,95)</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 Parraine un Ami</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Oui : 15,4%</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Non : 24,7%</w:t>
            </w:r>
          </w:p>
        </w:tc>
        <w:tc>
          <w:tcPr>
            <w:tcW w:type="dxa" w:w="1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9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MODERE — feature : has_referred (prefere a is_married)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Securite en ligne</w:t>
            </w:r>
          </w:p>
        </w:tc>
        <w:tc>
          <w:tcPr>
            <w:tcW w:type="dxa" w:w="16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Oui : 14,2%</w:t>
            </w:r>
          </w:p>
        </w:tc>
        <w:tc>
          <w:tcPr>
            <w:tcW w:type="dxa" w:w="16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Non : 23,0%</w:t>
            </w:r>
          </w:p>
        </w:tc>
        <w:tc>
          <w:tcPr>
            <w:tcW w:type="dxa" w:w="10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9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MODERE — non selectionne (couvert par nb_services)</w:t>
            </w:r>
          </w:p>
        </w:tc>
      </w:tr>
      <w:tr>
        <w:tc>
          <w:tcPr>
            <w:tcW w:type="dxa" w:w="2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Genre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Femme : 20,3%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Homme : 20,6%</w:t>
            </w:r>
          </w:p>
        </w:tc>
        <w:tc>
          <w:tcPr>
            <w:tcW w:type="dxa" w:w="1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0,3 pts</w:t>
            </w:r>
          </w:p>
        </w:tc>
        <w:tc>
          <w:tcPr>
            <w:tcW w:type="dxa" w:w="29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AUCUN SIGNAL — conserve uniquement pour l'audit d'equite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 telephonique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Non : 19,9%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Oui : 20,5%</w:t>
            </w:r>
          </w:p>
        </w:tc>
        <w:tc>
          <w:tcPr>
            <w:tcW w:type="dxa" w:w="10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0,6 pts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AUCUN SIGNAL — exclu</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6. Validation par le Taux de Resiliation</w:t>
      </w:r>
    </w:p>
    <w:p>
      <w:pPr>
        <w:pStyle w:val="Heading2"/>
        <w:spacing w:after="100" w:before="220"/>
      </w:pPr>
      <w:r>
        <w:rPr>
          <w:rFonts w:ascii="Arial" w:cs="Arial" w:eastAsia="Arial" w:hAnsi="Arial"/>
          <w:b/>
          <w:bCs/>
          <w:color w:val="2E75B6"/>
          <w:sz w:val="24"/>
          <w:szCs w:val="24"/>
        </w:rPr>
        <w:t xml:space="preserve">6.1 Taux de resiliation par classe NPS (depuis la CELLULE 10)</w:t>
      </w:r>
    </w:p>
    <w:p>
      <w:pPr>
        <w:spacing w:after="60" w:before="60"/>
      </w:pPr>
      <w:r>
        <w:rPr>
          <w:rFonts w:ascii="Arial" w:cs="Arial" w:eastAsia="Arial" w:hAnsi="Arial"/>
          <w:sz w:val="19"/>
          <w:szCs w:val="19"/>
        </w:rPr>
        <w:t xml:space="preserve">Cette analyse utilise df (dataset complet avec les colonnes de fuite) uniquement pour une validation post-hoc — pas pour la modelisation. L'objectif est de verifier que notre mapping NPS est coherent avec le comportement business reel.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Classe NPS</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Taux de resiliation</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1 440</w:t>
            </w:r>
          </w:p>
        </w:tc>
        <w:tc>
          <w:tcPr>
            <w:tcW w:type="dxa" w:w="1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100,0%</w:t>
            </w:r>
          </w:p>
        </w:tc>
        <w:tc>
          <w:tcPr>
            <w:tcW w:type="dxa" w:w="3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Tous les Detracteurs ont resilie</w:t>
            </w:r>
          </w:p>
        </w:tc>
      </w:tr>
      <w:tr>
        <w:tc>
          <w:tcPr>
            <w:tcW w:type="dxa" w:w="2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Passif</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2 665</w:t>
            </w:r>
          </w:p>
        </w:tc>
        <w:tc>
          <w:tcPr>
            <w:tcW w:type="dxa" w:w="18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16,1%</w:t>
            </w:r>
          </w:p>
        </w:tc>
        <w:tc>
          <w:tcPr>
            <w:tcW w:type="dxa" w:w="356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Mixte — 429 resilies, 2 236 restes</w:t>
            </w:r>
          </w:p>
        </w:tc>
      </w:tr>
      <w:tr>
        <w:tc>
          <w:tcPr>
            <w:tcW w:type="dxa" w:w="2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Promoteur</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2 938</w:t>
            </w:r>
          </w:p>
        </w:tc>
        <w:tc>
          <w:tcPr>
            <w:tcW w:type="dxa" w:w="18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w:t>
            </w:r>
          </w:p>
        </w:tc>
        <w:tc>
          <w:tcPr>
            <w:tcW w:type="dxa" w:w="35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Aucun Promoteur n'a resilie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7A4A00"/>
                <w:sz w:val="19"/>
                <w:szCs w:val="19"/>
              </w:rPr>
              <w:t xml:space="preserve">Observation critique documentee dans le notebook</w:t>
            </w:r>
          </w:p>
          <w:p>
            <w:pPr>
              <w:spacing w:before="60"/>
            </w:pPr>
            <w:r>
              <w:rPr>
                <w:rFonts w:ascii="Arial" w:cs="Arial" w:eastAsia="Arial" w:hAnsi="Arial"/>
                <w:sz w:val="18"/>
                <w:szCs w:val="18"/>
              </w:rPr>
              <w:t xml:space="preserve">La separation parfaite (Detracteur = 100% de resiliation, Promoteur = 0%) revele qu'IBM a attribue les Scores de Satisfaction APRES avoir observe le comportement de resiliation. Les scores 1-2 ont ete attribues exclusivement aux clients resilies. Les scores 4-5 exclusivement aux clients restes. Le Score 3 est le seul groupe genuinement mixte. Il s'agit d'une limite connue du dataset IBM Telco — le Score de Satisfaction n'est pas une veritable enquete NPS prospective. Notre modele apprendra les patterns comportementaux (type de contrat, anciennete, services) qui sont correles a l'insatisfaction. Cette limite doit etre divulguee avant tout deploiement en production.</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7. Feature Engineering (Section 4.3)</w:t>
      </w:r>
    </w:p>
    <w:p>
      <w:pPr>
        <w:pStyle w:val="Heading2"/>
        <w:spacing w:after="100" w:before="220"/>
      </w:pPr>
      <w:r>
        <w:rPr>
          <w:rFonts w:ascii="Arial" w:cs="Arial" w:eastAsia="Arial" w:hAnsi="Arial"/>
          <w:b/>
          <w:bCs/>
          <w:color w:val="2E75B6"/>
          <w:sz w:val="24"/>
          <w:szCs w:val="24"/>
        </w:rPr>
        <w:t xml:space="preserve">7.1 Features creees — depuis la CELLULE 11</w:t>
      </w:r>
    </w:p>
    <w:p>
      <w:pPr>
        <w:spacing w:after="60" w:before="60"/>
      </w:pPr>
      <w:r>
        <w:rPr>
          <w:rFonts w:ascii="Arial" w:cs="Arial" w:eastAsia="Arial" w:hAnsi="Arial"/>
          <w:sz w:val="19"/>
          <w:szCs w:val="19"/>
        </w:rPr>
        <w:t xml:space="preserve">12 features derivees ont ete creees sur la base exclusive des signaux confirmes pendant l'EDA. Chaque feature est justifiee par son ecart de taux de Detracteurs ou par la difference de moyenne entre les classes NPS.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5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Justification depuis l'EDA</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is_month_to_month</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34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Contrat mensuel : 35,8% Detracteurs vs Deux ans : 1,6% — le predicteur le plus puissant du dataset. 3 610 clients (51,3%) en contrat mensuel.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is_new_customer</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Anciennete : 18m vs 36m</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Anciennete moyenne des Detracteurs : 18,17 mois vs 36 pour les autres. 2 186 clients (31,0%) ont une anciennete inferieure a 12 mois. Signal de friction a l'onboarding.</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nb_services</w:t>
            </w:r>
          </w:p>
        </w:tc>
        <w:tc>
          <w:tcPr>
            <w:tcW w:type="dxa" w:w="1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Proxy d'engagement</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Nombre de 'Oui' parmi 8 colonnes de services. Moyenne 3,97 services. Plus de services = plus d'investissement dans la relation = moins de Detracteurs. Utilise pour calculer charge_per_service.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has_fiber</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16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Fibre Optique : 31,2% Detracteurs vs DSL : 14,9%. Les clients fibre ont des attentes plus elevees. Le prix premium doit correspondre a la qualite de service. 3 035 clients (43,1%).</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has_premium_support</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12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Avec Support Technique Premium : 12,2% Detracteurs vs sans : 23,8%. La qualite du support reduit directement la frustration. 2 044 clients (29,0%).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charge_per_service</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16$ vs 12,68$</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Charge Mensuelle / (nb_services + 1). Moyenne Detracteur : 16,02$ vs Promoteur : 12,68$. Capture la mauvaise perception de la valeur — payer plus par service souscrit.</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20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Avec personnes a charge : 5,2% Detracteurs vs sans : 25,0%. Les clients en famille sont 5x plus fidelises. 1 627 clients (23,1%).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is_senior</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13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Seniors : 31,8% Detracteurs vs non-seniors : 18,3%. Aussi une variable cle pour l'audit d'equite. 1 142 clients (16,2%).</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is_married</w:t>
            </w:r>
          </w:p>
        </w:tc>
        <w:tc>
          <w:tcPr>
            <w:tcW w:type="dxa" w:w="1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Delta 9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Marie : 15,5% Detracteurs vs celibataire : 25,0%. 3 402 clients (48,3%). Exclue ensuite pour multicolinearite avec has_referred (0,95).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4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Delta 9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 parraine au moins une fois : 15,4% Detracteurs vs jamais : 24,7%. Signal de fidelite ambassadeur. 3 222 clients (45,7%).</w:t>
            </w:r>
          </w:p>
        </w:tc>
      </w:tr>
      <w:tr>
        <w:tc>
          <w:tcPr>
            <w:tcW w:type="dxa" w:w="24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is_auto_pay</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19 pts</w:t>
            </w:r>
          </w:p>
        </w:tc>
        <w:tc>
          <w:tcPr>
            <w:tcW w:type="dxa" w:w="5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Carte/Virement : 11,1% Detracteurs vs Cheque postal : 29,9%. Proxy d'engagement numerique. 6 658 clients (94,5%). Exclu apres l'analyse de correlation (corr 0,044 avec NPS).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is_offer_E</w:t>
            </w:r>
          </w:p>
        </w:tc>
        <w:tc>
          <w:tcPr>
            <w:tcW w:type="dxa" w:w="14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Delta 34 pts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Offre E : 39,1% Detracteurs vs Offre A : 4,8%. L'Offre E est l'offre de retention la moins performante du portefeuille. 805 clients (11,4%).</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8. Analyse des Correlations et Selection Finale des Features</w:t>
      </w:r>
    </w:p>
    <w:p>
      <w:pPr>
        <w:pStyle w:val="Heading2"/>
        <w:spacing w:after="100" w:before="220"/>
      </w:pPr>
      <w:r>
        <w:rPr>
          <w:rFonts w:ascii="Arial" w:cs="Arial" w:eastAsia="Arial" w:hAnsi="Arial"/>
          <w:b/>
          <w:bCs/>
          <w:color w:val="2E75B6"/>
          <w:sz w:val="24"/>
          <w:szCs w:val="24"/>
        </w:rPr>
        <w:t xml:space="preserve">8.1 Correlation avec la cible NPS — depuis la CELLULE 12</w:t>
      </w:r>
    </w:p>
    <w:p>
      <w:pPr>
        <w:spacing w:after="60" w:before="60"/>
      </w:pPr>
      <w:r>
        <w:rPr>
          <w:rFonts w:ascii="Arial" w:cs="Arial" w:eastAsia="Arial" w:hAnsi="Arial"/>
          <w:sz w:val="19"/>
          <w:szCs w:val="19"/>
        </w:rPr>
        <w:t xml:space="preserve">Le NPS a ete encode en : Detracteur=0, Passif=1, Promoteur=2. Correlation de Pearson absolue calculee pour toutes les features numeriques.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Corr. absolue</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is_month_to_month</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0,343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 — predicteur le plus puissant</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charge_per_service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0,244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Anciennete (mois)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0,238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has_fiber</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0,228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is_new_customer</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0,217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Charge Mensuelle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Nombre de Parrainages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0,180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Nombre de Personnes a Charge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0,164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multicolinearite avec has_family (0,888)</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Charges Longue Distance Totales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0,153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is_offer_E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0,145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Revenu Total</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0,123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multicolinearite avec Charges Totales (0,972) et Anciennete (0,853)</w:t>
            </w:r>
          </w:p>
        </w:tc>
      </w:tr>
      <w:tr>
        <w:tc>
          <w:tcPr>
            <w:tcW w:type="dxa" w:w="3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is_senior</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0,114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 — aussi variable d'equite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Charges Totales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0,099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multicolinearite avec Anciennete (0,826)</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Age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 — aussi variable d'equite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is_married</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multicolinearite avec has_referred (0,950)</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has_premium_support</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Telechargement Mensuel Moyen (Go)</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CONSERVE — signal d'usage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nb_services</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0,061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multicolinearite avec Charge Mensuelle (0,807)</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is_auto_pay</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0,044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Positive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signal trop faible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Population</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0,028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aucune valeur predictive</w:t>
            </w:r>
          </w:p>
        </w:tc>
      </w:tr>
      <w:tr>
        <w:tc>
          <w:tcPr>
            <w:tcW w:type="dxa" w:w="32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Charges Longue Distance Mensuelles Moyennes</w:t>
            </w:r>
          </w:p>
        </w:tc>
        <w:tc>
          <w:tcPr>
            <w:tcW w:type="dxa" w:w="1200"/>
            <w:tcBorders>
              <w:top w:val="single" w:color="CCCCCC" w:sz="1"/>
              <w:left w:val="single" w:color="CCCCCC" w:sz="1"/>
              <w:bottom w:val="single" w:color="CCCCCC" w:sz="1"/>
              <w:right w:val="single" w:color="CCCCCC" w:sz="1"/>
            </w:tcBorders>
            <w:shd w:fill="E8F4E8" w:val="clear"/>
            <w:tcMar>
              <w:top w:type="dxa" w:w="70"/>
              <w:left w:type="dxa" w:w="120"/>
              <w:bottom w:type="dxa" w:w="70"/>
              <w:right w:type="dxa" w:w="120"/>
            </w:tcMar>
          </w:tcPr>
          <w:p>
            <w:r>
              <w:rPr>
                <w:rFonts w:ascii="Arial" w:cs="Arial" w:eastAsia="Arial" w:hAnsi="Arial"/>
                <w:sz w:val="17"/>
                <w:szCs w:val="17"/>
              </w:rPr>
              <w:t xml:space="preserve">0,009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Negative</w:t>
            </w:r>
          </w:p>
        </w:tc>
        <w:tc>
          <w:tcPr>
            <w:tcW w:type="dxa" w:w="39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EXCLU — correlation quasi nulle</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8.2 Fortes correlations inter-features detectees (&gt; 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1</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2</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Corr.</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Charges Totales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Revenu Total</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0,972</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Supprimer les deux — l'Anciennete les resume (corr 0,826 / 0,853)</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is_married</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0,950</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Supprimer is_married — has_referred plus actionnable</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Nombre de Personnes a Charge</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0,888</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Supprimer Nombre de Dependants — has_family plus simple</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Anciennete (mois)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Revenu Total</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0,853</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Supprimer Revenu Total — Anciennete a une corr NPS plus forte (0,238)</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Anciennete (mois)</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Charges Totales</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0,826</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Supprimer Charges Totales — Anciennete preferee</w:t>
            </w:r>
          </w:p>
        </w:tc>
      </w:tr>
      <w:tr>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Charge Mensuelle</w:t>
            </w:r>
          </w:p>
        </w:tc>
        <w:tc>
          <w:tcPr>
            <w:tcW w:type="dxa" w:w="28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nb_services</w:t>
            </w:r>
          </w:p>
        </w:tc>
        <w:tc>
          <w:tcPr>
            <w:tcW w:type="dxa" w:w="10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0,807</w:t>
            </w:r>
          </w:p>
        </w:tc>
        <w:tc>
          <w:tcPr>
            <w:tcW w:type="dxa" w:w="27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Supprimer nb_services — Charge Mensuelle a un signal NPS plus fort</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8.3 Selection finale des features pour la modelisation — 15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5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Categorie</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Corr. NPS</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is_month_to_month</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Contrat</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0,343</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Binaire derive — predicteur le plus puissant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charge_per_service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Financier</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0,244</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Ratio derive — proxy de perception de valeur</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Anciennete (mois)</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Usage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0,238</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Numerique original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has_fiber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0,228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Binaire derive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is_new_customer</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Usage</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0,217</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Binaire derive (Anciennete &lt;= 12 mois)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Charge Mensuelle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Financier</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0,207</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Numerique original</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Nombre de Parrainages</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Engagement</w:t>
            </w:r>
          </w:p>
        </w:tc>
        <w:tc>
          <w:tcPr>
            <w:tcW w:type="dxa" w:w="120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0,202</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Numerique original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has_family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Demographie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0,180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Binaire derive (a des personnes a charge)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Charges Longue Distance Totales</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Financier</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0,153</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Numerique original — signal d'engagement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is_offer_E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Marketing</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0,145</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Binaire derive — offre a risque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is_senior</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Demographie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0,114</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Binaire derive — aussi variable d'equite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has_referred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Engagement</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0,089</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Binaire derive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Age</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Demographie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0,088</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Numerique original — aussi variable d'equite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has_premium_support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Services</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0,076</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Binaire derive</w:t>
            </w:r>
          </w:p>
        </w:tc>
      </w:tr>
      <w:tr>
        <w:tc>
          <w:tcPr>
            <w:tcW w:type="dxa" w:w="2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Telechargement Mensuel Moyen (Go)</w:t>
            </w:r>
          </w:p>
        </w:tc>
        <w:tc>
          <w:tcPr>
            <w:tcW w:type="dxa" w:w="180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Usage</w:t>
            </w:r>
          </w:p>
        </w:tc>
        <w:tc>
          <w:tcPr>
            <w:tcW w:type="dxa" w:w="1200"/>
            <w:tcBorders>
              <w:top w:val="single" w:color="CCCCCC" w:sz="1"/>
              <w:left w:val="single" w:color="CCCCCC" w:sz="1"/>
              <w:bottom w:val="single" w:color="CCCCCC" w:sz="1"/>
              <w:right w:val="single" w:color="CCCCCC" w:sz="1"/>
            </w:tcBorders>
            <w:shd w:fill="FFF8EE" w:val="clear"/>
            <w:tcMar>
              <w:top w:type="dxa" w:w="70"/>
              <w:left w:type="dxa" w:w="120"/>
              <w:bottom w:type="dxa" w:w="70"/>
              <w:right w:type="dxa" w:w="120"/>
            </w:tcMar>
          </w:tcPr>
          <w:p>
            <w:r>
              <w:rPr>
                <w:rFonts w:ascii="Arial" w:cs="Arial" w:eastAsia="Arial" w:hAnsi="Arial"/>
                <w:sz w:val="17"/>
                <w:szCs w:val="17"/>
              </w:rPr>
              <w:t xml:space="preserve">0,074</w:t>
            </w:r>
          </w:p>
        </w:tc>
        <w:tc>
          <w:tcPr>
            <w:tcW w:type="dxa" w:w="3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Numerique original</w:t>
            </w:r>
          </w:p>
        </w:tc>
      </w:tr>
    </w:tbl>
    <w:p>
      <w:r>
        <w:br w:type="page"/>
      </w:r>
    </w:p>
    <w:p>
      <w:pPr>
        <w:pStyle w:val="Heading1"/>
        <w:pBdr>
          <w:bottom w:val="single" w:color="1F4E79" w:sz="6" w:space="1"/>
        </w:pBdr>
        <w:spacing w:after="160" w:before="320"/>
      </w:pPr>
      <w:r>
        <w:rPr>
          <w:rFonts w:ascii="Arial" w:cs="Arial" w:eastAsia="Arial" w:hAnsi="Arial"/>
          <w:b/>
          <w:bCs/>
          <w:color w:val="1F4E79"/>
          <w:sz w:val="30"/>
          <w:szCs w:val="30"/>
        </w:rPr>
        <w:t xml:space="preserve">9. Insights Business Cles</w:t>
      </w:r>
    </w:p>
    <w:p>
      <w:pPr>
        <w:pStyle w:val="Heading2"/>
        <w:spacing w:after="100" w:before="220"/>
      </w:pPr>
      <w:r>
        <w:rPr>
          <w:rFonts w:ascii="Arial" w:cs="Arial" w:eastAsia="Arial" w:hAnsi="Arial"/>
          <w:b/>
          <w:bCs/>
          <w:color w:val="2E75B6"/>
          <w:sz w:val="24"/>
          <w:szCs w:val="24"/>
        </w:rPr>
        <w:t xml:space="preserve">8 insights actionnables documentes en CELLULE 13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460"/>
        <w:gridCol w:w="6560"/>
      </w:tblGrid>
      <w:tr>
        <w:tc>
          <w:tcPr>
            <w:tcW w:type="dxa" w:w="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Insight</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Implication business et valeurs cles</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1</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Le contrat est le predicteur N°1</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Mensuel : 35,8% Detracteurs vs Deux ans : 1,6% (delta 34 pts). Convertir les contrats mensuels en contrats annuels est le levier de retention le plus impactant disponible.</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2</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Les nouveaux clients detractent le plus</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Anciennete moyenne des Detracteurs : 18 mois vs 36 pour les autres. 31% de la base est avec l'operateur depuis moins de 12 mois. L'experience d'onboarding determine la fidelite a long terme.</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3</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Les clients fibre sont insatisfaits</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Fibre Optique : 31,2% Detracteurs vs DSL : 14,9% (delta 16 pts). Le service premium doit delivrer une experience premium. L'ecart prix-qualite est un moteur majeur de detraction.</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4</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La famille = ancre de fidelite</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Avec personnes a charge : 5,2% Detracteurs vs sans : 25,0% (delta 20 pts). Les clients avec enfants sont 5x moins susceptibles de detracter. Les offres familiales sont un levier de retention puissant.</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5</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Les parrainages = signal de fidelite</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Detracteurs : 0,56 parrainages en moyenne vs Promoteurs : 2,37 (4,2x moins). Les programmes de parrainage renforcent la fidelite ET identifient proactivement les clients satisfaits.</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6</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L'Offre E est un signal d'alarme</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Offre E : 39,1% Detracteurs vs Offre A : 4,8% (delta 34 pts). L'Offre E attire des clients deja insatisfaits. Elle devrait etre revisee ou abandonnee immediatement.</w:t>
            </w:r>
          </w:p>
        </w:tc>
      </w:tr>
      <w:tr>
        <w:tc>
          <w:tcPr>
            <w:tcW w:type="dxa" w:w="34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7</w:t>
            </w:r>
          </w:p>
        </w:tc>
        <w:tc>
          <w:tcPr>
            <w:tcW w:type="dxa" w:w="24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Les seniors ont besoin d'un support dedie</w:t>
            </w:r>
          </w:p>
        </w:tc>
        <w:tc>
          <w:tcPr>
            <w:tcW w:type="dxa" w:w="6560"/>
            <w:tcBorders>
              <w:top w:val="single" w:color="CCCCCC" w:sz="1"/>
              <w:left w:val="single" w:color="CCCCCC" w:sz="1"/>
              <w:bottom w:val="single" w:color="CCCCCC" w:sz="1"/>
              <w:right w:val="single" w:color="CCCCCC" w:sz="1"/>
            </w:tcBorders>
            <w:shd w:fill="FFEEEE" w:val="clear"/>
            <w:tcMar>
              <w:top w:type="dxa" w:w="70"/>
              <w:left w:type="dxa" w:w="120"/>
              <w:bottom w:type="dxa" w:w="70"/>
              <w:right w:type="dxa" w:w="120"/>
            </w:tcMar>
          </w:tcPr>
          <w:p>
            <w:r>
              <w:rPr>
                <w:rFonts w:ascii="Arial" w:cs="Arial" w:eastAsia="Arial" w:hAnsi="Arial"/>
                <w:sz w:val="17"/>
                <w:szCs w:val="17"/>
              </w:rPr>
              <w:t xml:space="preserve">Seniors : 31,8% Detracteurs vs non-seniors : 18,3% (delta 13 pts). Des canaux d'assistance dedies et des offres simplifiees pourraient reduire significativement la detraction des seniors.</w:t>
            </w:r>
          </w:p>
        </w:tc>
      </w:tr>
      <w:tr>
        <w:tc>
          <w:tcPr>
            <w:tcW w:type="dxa" w:w="34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8</w:t>
            </w:r>
          </w:p>
        </w:tc>
        <w:tc>
          <w:tcPr>
            <w:tcW w:type="dxa" w:w="24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Charge elevee = mauvaise perception de valeur</w:t>
            </w:r>
          </w:p>
        </w:tc>
        <w:tc>
          <w:tcPr>
            <w:tcW w:type="dxa" w:w="6560"/>
            <w:tcBorders>
              <w:top w:val="single" w:color="CCCCCC" w:sz="1"/>
              <w:left w:val="single" w:color="CCCCCC" w:sz="1"/>
              <w:bottom w:val="single" w:color="CCCCCC" w:sz="1"/>
              <w:right w:val="single" w:color="CCCCCC" w:sz="1"/>
            </w:tcBorders>
            <w:shd w:fill="EEF4FF" w:val="clear"/>
            <w:tcMar>
              <w:top w:type="dxa" w:w="70"/>
              <w:left w:type="dxa" w:w="120"/>
              <w:bottom w:type="dxa" w:w="70"/>
              <w:right w:type="dxa" w:w="120"/>
            </w:tcMar>
          </w:tcPr>
          <w:p>
            <w:r>
              <w:rPr>
                <w:rFonts w:ascii="Arial" w:cs="Arial" w:eastAsia="Arial" w:hAnsi="Arial"/>
                <w:sz w:val="17"/>
                <w:szCs w:val="17"/>
              </w:rPr>
              <w:t xml:space="preserve">Les Detracteurs paient 74,97$/mois vs 58,42$ pour les Promoteurs. Le ratio charge_per_service (Detracteur : 16,02$ vs Promoteur : 12,68$) confirme que la mauvaise perception de valeur est un moteur cle de detraction.</w:t>
            </w:r>
          </w:p>
        </w:tc>
      </w:tr>
    </w:tbl>
    <w:p>
      <w:pPr>
        <w:spacing w:after="60" w:before="60"/>
      </w:pPr>
      <w:r>
        <w:t xml:space="preserve"/>
      </w:r>
    </w:p>
    <w:p>
      <w:pPr>
        <w:spacing w:after="60" w:before="60"/>
      </w:pPr>
      <w:r>
        <w:t xml:space="preserve"/>
      </w:r>
    </w:p>
    <w:p>
      <w:pPr>
        <w:pBdr>
          <w:top w:val="single" w:color="1F4E79" w:sz="6" w:space="1"/>
        </w:pBdr>
        <w:spacing w:after="80" w:before="200"/>
        <w:jc w:val="center"/>
      </w:pPr>
      <w:r>
        <w:rPr>
          <w:rFonts w:ascii="Arial" w:cs="Arial" w:eastAsia="Arial" w:hAnsi="Arial"/>
          <w:i/>
          <w:iCs/>
          <w:color w:val="888888"/>
          <w:sz w:val="17"/>
          <w:szCs w:val="17"/>
        </w:rPr>
        <w:t xml:space="preserve">Fin de la Documentation EDA — Prochaine etape : Preparation des donnees et Modelisation de reference (Jour 3)</w:t>
      </w:r>
    </w:p>
    <w:sectPr>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Artefact CI — Challenge Data Scientist Senior | Documentation EDA | Franck Yao — Juin 2026 | Page </w:t>
    </w:r>
    <w:r>
      <w:rPr>
        <w:rFonts w:ascii="Arial" w:cs="Arial" w:eastAsia="Arial" w:hAnsi="Arial"/>
        <w:color w:val="888888"/>
        <w:sz w:val="15"/>
        <w:szCs w:val="15"/>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2026-06-18T19:39:48.660Z</dcterms:created>
  <dcterms:modified xsi:type="dcterms:W3CDTF">2026-06-18T19:39:48.671Z</dcterms:modified>
</cp:coreProperties>
</file>

<file path=docProps/custom.xml><?xml version="1.0" encoding="utf-8"?>
<Properties xmlns="http://schemas.openxmlformats.org/officeDocument/2006/custom-properties" xmlns:vt="http://schemas.openxmlformats.org/officeDocument/2006/docPropsVTypes"/>
</file>