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of Conduct &amp; Workplace Behavior Policy</w:t>
      </w:r>
    </w:p>
    <w:p>
      <w:r/>
      <w:r>
        <w:rPr>
          <w:b/>
        </w:rPr>
        <w:t>Policy ID:</w:t>
      </w:r>
      <w:r>
        <w:t xml:space="preserve"> HR-POL-010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April 8, 2025</w:t>
      </w:r>
    </w:p>
    <w:p>
      <w:r/>
      <w:r>
        <w:rPr>
          <w:b/>
        </w:rPr>
        <w:t>Approved By:</w:t>
      </w:r>
      <w:r>
        <w:t xml:space="preserve"> David Chen, Chief People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establishes the standards of professional conduct expected of all employees, contractors, and interns at Contoso Ltd. It aims to foster a respectful, inclusive, and productive work environment.</w:t>
      </w:r>
    </w:p>
    <w:p>
      <w:pPr>
        <w:pStyle w:val="Heading2"/>
      </w:pPr>
      <w:r>
        <w:t>2. Scope</w:t>
      </w:r>
    </w:p>
    <w:p>
      <w:r>
        <w:t>This policy applies to all interactions in the course of Contoso business, whether occurring:</w:t>
      </w:r>
    </w:p>
    <w:p>
      <w:pPr>
        <w:pStyle w:val="ListBullet"/>
      </w:pPr>
      <w:r>
        <w:t>On company premises</w:t>
      </w:r>
    </w:p>
    <w:p>
      <w:pPr>
        <w:pStyle w:val="ListBullet"/>
      </w:pPr>
      <w:r>
        <w:t>At company-sponsored events</w:t>
      </w:r>
    </w:p>
    <w:p>
      <w:pPr>
        <w:pStyle w:val="ListBullet"/>
      </w:pPr>
      <w:r>
        <w:t>In virtual meetings, chats, or emails</w:t>
      </w:r>
    </w:p>
    <w:p>
      <w:pPr>
        <w:pStyle w:val="ListBullet"/>
      </w:pPr>
      <w:r>
        <w:t>On business travel</w:t>
      </w:r>
    </w:p>
    <w:p>
      <w:pPr>
        <w:pStyle w:val="ListBullet"/>
      </w:pPr>
      <w:r>
        <w:t>On company social media channels</w:t>
      </w:r>
    </w:p>
    <w:p>
      <w:pPr>
        <w:pStyle w:val="Heading2"/>
      </w:pPr>
      <w:r>
        <w:t>3. Core Expectations</w:t>
      </w:r>
    </w:p>
    <w:p>
      <w:r>
        <w:t>All Contoso employees are expected to:</w:t>
      </w:r>
    </w:p>
    <w:p>
      <w:pPr>
        <w:pStyle w:val="ListNumber"/>
      </w:pPr>
      <w:r/>
      <w:r>
        <w:rPr>
          <w:b/>
        </w:rPr>
        <w:t>Act with integrity</w:t>
      </w:r>
      <w:r>
        <w:t xml:space="preserve"> — Be honest, ethical, and transparent in all professional dealings.</w:t>
      </w:r>
    </w:p>
    <w:p>
      <w:pPr>
        <w:pStyle w:val="ListNumber"/>
      </w:pPr>
      <w:r/>
      <w:r>
        <w:rPr>
          <w:b/>
        </w:rPr>
        <w:t>Treat others with respect</w:t>
      </w:r>
      <w:r>
        <w:t xml:space="preserve"> — Value diverse perspectives and communicate with courtesy.</w:t>
      </w:r>
    </w:p>
    <w:p>
      <w:pPr>
        <w:pStyle w:val="ListNumber"/>
      </w:pPr>
      <w:r/>
      <w:r>
        <w:rPr>
          <w:b/>
        </w:rPr>
        <w:t>Maintain professionalism</w:t>
      </w:r>
      <w:r>
        <w:t xml:space="preserve"> — Represent Contoso positively in all interactions, internal and external.</w:t>
      </w:r>
    </w:p>
    <w:p>
      <w:pPr>
        <w:pStyle w:val="ListNumber"/>
      </w:pPr>
      <w:r/>
      <w:r>
        <w:rPr>
          <w:b/>
        </w:rPr>
        <w:t>Protect company assets</w:t>
      </w:r>
      <w:r>
        <w:t xml:space="preserve"> — Use Contoso resources, data, and intellectual property responsibly.</w:t>
      </w:r>
    </w:p>
    <w:p>
      <w:pPr>
        <w:pStyle w:val="ListNumber"/>
      </w:pPr>
      <w:r/>
      <w:r>
        <w:rPr>
          <w:b/>
        </w:rPr>
        <w:t>Comply with laws and policies</w:t>
      </w:r>
      <w:r>
        <w:t xml:space="preserve"> — Follow all applicable laws, regulations, and internal policies.</w:t>
      </w:r>
    </w:p>
    <w:p>
      <w:pPr>
        <w:pStyle w:val="Heading2"/>
      </w:pPr>
      <w:r>
        <w:t>4. Prohibited Conduct</w:t>
      </w:r>
    </w:p>
    <w:p>
      <w:r>
        <w:t>The following behaviors are strictly prohibited and may result in disciplinary action up to and including immediate termination:</w:t>
      </w:r>
    </w:p>
    <w:p>
      <w:pPr>
        <w:pStyle w:val="ListBullet"/>
      </w:pPr>
      <w:r/>
      <w:r>
        <w:rPr>
          <w:b/>
        </w:rPr>
        <w:t>Harassment:</w:t>
      </w:r>
      <w:r>
        <w:t xml:space="preserve"> Any unwelcome conduct based on race, gender, sexual orientation, religion, disability, age, or any other protected characteristic. This includes verbal, physical, and digital harassment.</w:t>
      </w:r>
    </w:p>
    <w:p>
      <w:pPr>
        <w:pStyle w:val="ListBullet"/>
      </w:pPr>
      <w:r/>
      <w:r>
        <w:rPr>
          <w:b/>
        </w:rPr>
        <w:t>Discrimination:</w:t>
      </w:r>
      <w:r>
        <w:t xml:space="preserve"> Making employment decisions (hiring, promotion, assignment, termination) based on protected characteristics rather than merit and qualifications.</w:t>
      </w:r>
    </w:p>
    <w:p>
      <w:pPr>
        <w:pStyle w:val="ListBullet"/>
      </w:pPr>
      <w:r/>
      <w:r>
        <w:rPr>
          <w:b/>
        </w:rPr>
        <w:t>Bullying:</w:t>
      </w:r>
      <w:r>
        <w:t xml:space="preserve"> Repeated, unreasonable behavior directed at an employee that creates a risk to health and safety, including intimidation, humiliation, or sabotage.</w:t>
      </w:r>
    </w:p>
    <w:p>
      <w:pPr>
        <w:pStyle w:val="ListBullet"/>
      </w:pPr>
      <w:r/>
      <w:r>
        <w:rPr>
          <w:b/>
        </w:rPr>
        <w:t>Retaliation:</w:t>
      </w:r>
      <w:r>
        <w:t xml:space="preserve"> Adverse action against any employee who reports a concern, files a complaint, or participates in an investigation in good faith.</w:t>
      </w:r>
    </w:p>
    <w:p>
      <w:pPr>
        <w:pStyle w:val="ListBullet"/>
      </w:pPr>
      <w:r/>
      <w:r>
        <w:rPr>
          <w:b/>
        </w:rPr>
        <w:t>Substance abuse:</w:t>
      </w:r>
      <w:r>
        <w:t xml:space="preserve"> Being under the influence of alcohol or illegal drugs during work hours or on company premises.</w:t>
      </w:r>
    </w:p>
    <w:p>
      <w:pPr>
        <w:pStyle w:val="ListBullet"/>
      </w:pPr>
      <w:r/>
      <w:r>
        <w:rPr>
          <w:b/>
        </w:rPr>
        <w:t>Theft or fraud:</w:t>
      </w:r>
      <w:r>
        <w:t xml:space="preserve"> Misappropriation of company funds, assets, or data.</w:t>
      </w:r>
    </w:p>
    <w:p>
      <w:pPr>
        <w:pStyle w:val="ListBullet"/>
      </w:pPr>
      <w:r/>
      <w:r>
        <w:rPr>
          <w:b/>
        </w:rPr>
        <w:t>Conflicts of interest:</w:t>
      </w:r>
      <w:r>
        <w:t xml:space="preserve"> Engaging in outside activities that conflict with Contoso's business interests without prior written disclosure to HR.</w:t>
      </w:r>
    </w:p>
    <w:p>
      <w:pPr>
        <w:pStyle w:val="Heading2"/>
      </w:pPr>
      <w:r>
        <w:t>5. Reporting Concerns</w:t>
      </w:r>
    </w:p>
    <w:p>
      <w:r>
        <w:t>Employees who witness or experience a violation of this policy are encouraged to report it through any of the following channels: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Direct Manager</w:t>
            </w:r>
          </w:p>
        </w:tc>
        <w:tc>
          <w:tcPr>
            <w:tcW w:type="dxa" w:w="4320"/>
          </w:tcPr>
          <w:p>
            <w:r>
              <w:t>In-person or via HR Portal</w:t>
            </w:r>
          </w:p>
        </w:tc>
      </w:tr>
      <w:tr>
        <w:tc>
          <w:tcPr>
            <w:tcW w:type="dxa" w:w="4320"/>
          </w:tcPr>
          <w:p>
            <w:r>
              <w:t>HR Business Partner</w:t>
            </w:r>
          </w:p>
        </w:tc>
        <w:tc>
          <w:tcPr>
            <w:tcW w:type="dxa" w:w="4320"/>
          </w:tcPr>
          <w:p>
            <w:r>
              <w:t>hr-compliance@contoso.com</w:t>
            </w:r>
          </w:p>
        </w:tc>
      </w:tr>
      <w:tr>
        <w:tc>
          <w:tcPr>
            <w:tcW w:type="dxa" w:w="4320"/>
          </w:tcPr>
          <w:p>
            <w:r>
              <w:t>Anonymous Ethics Hotline</w:t>
            </w:r>
          </w:p>
        </w:tc>
        <w:tc>
          <w:tcPr>
            <w:tcW w:type="dxa" w:w="4320"/>
          </w:tcPr>
          <w:p>
            <w:r>
              <w:t>1-800-555-ETHX (3849)</w:t>
            </w:r>
          </w:p>
        </w:tc>
      </w:tr>
      <w:tr>
        <w:tc>
          <w:tcPr>
            <w:tcW w:type="dxa" w:w="4320"/>
          </w:tcPr>
          <w:p>
            <w:r>
              <w:t>Online Reporting</w:t>
            </w:r>
          </w:p>
        </w:tc>
        <w:tc>
          <w:tcPr>
            <w:tcW w:type="dxa" w:w="4320"/>
          </w:tcPr>
          <w:p>
            <w:r>
              <w:t>ethics.contoso.com</w:t>
            </w:r>
          </w:p>
        </w:tc>
      </w:tr>
    </w:tbl>
    <w:p/>
    <w:p>
      <w:r>
        <w:t xml:space="preserve">All reports are treated </w:t>
      </w:r>
      <w:r>
        <w:rPr>
          <w:b/>
        </w:rPr>
        <w:t>confidentially</w:t>
      </w:r>
      <w:r>
        <w:t xml:space="preserve"> to the extent permitted by law. Anonymous reporting is available through the Ethics Hotline and online portal.</w:t>
      </w:r>
    </w:p>
    <w:p>
      <w:pPr>
        <w:pStyle w:val="Heading2"/>
      </w:pPr>
      <w:r>
        <w:t>6. Investigation Process</w:t>
      </w:r>
    </w:p>
    <w:p>
      <w:pPr>
        <w:pStyle w:val="ListNumber"/>
      </w:pPr>
      <w:r>
        <w:t xml:space="preserve">HR acknowledges receipt of the report within </w:t>
      </w:r>
      <w:r>
        <w:rPr>
          <w:b/>
        </w:rPr>
        <w:t>2 business days</w:t>
      </w:r>
      <w:r>
        <w:t>.</w:t>
      </w:r>
    </w:p>
    <w:p>
      <w:pPr>
        <w:pStyle w:val="ListNumber"/>
      </w:pPr>
      <w:r>
        <w:t xml:space="preserve">An investigation is initiated within </w:t>
      </w:r>
      <w:r>
        <w:rPr>
          <w:b/>
        </w:rPr>
        <w:t>5 business days</w:t>
      </w:r>
      <w:r>
        <w:t>.</w:t>
      </w:r>
    </w:p>
    <w:p>
      <w:pPr>
        <w:pStyle w:val="ListNumber"/>
      </w:pPr>
      <w:r>
        <w:t xml:space="preserve">The investigation is completed within </w:t>
      </w:r>
      <w:r>
        <w:rPr>
          <w:b/>
        </w:rPr>
        <w:t>30 business days</w:t>
      </w:r>
      <w:r>
        <w:t xml:space="preserve"> (extensions may apply for complex cases).</w:t>
      </w:r>
    </w:p>
    <w:p>
      <w:pPr>
        <w:pStyle w:val="ListNumber"/>
      </w:pPr>
      <w:r>
        <w:t>Both the reporting party and the respondent are informed of the outcome in writing.</w:t>
      </w:r>
    </w:p>
    <w:p>
      <w:pPr>
        <w:pStyle w:val="ListNumber"/>
      </w:pPr>
      <w:r>
        <w:t xml:space="preserve">Investigation records are maintained for </w:t>
      </w:r>
      <w:r>
        <w:rPr>
          <w:b/>
        </w:rPr>
        <w:t>7 years</w:t>
      </w:r>
      <w:r>
        <w:t>.</w:t>
      </w:r>
    </w:p>
    <w:p>
      <w:pPr>
        <w:pStyle w:val="Heading2"/>
      </w:pPr>
      <w:r>
        <w:t>7. Disciplinary Actions</w:t>
      </w:r>
    </w:p>
    <w:p>
      <w:r>
        <w:t>Disciplinary measures are applied based on the severity of the violation: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Possible Actions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Verbal warning, mandatory training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Written warning, temporary suspension, loss of privileges</w:t>
            </w:r>
          </w:p>
        </w:tc>
      </w:tr>
      <w:tr>
        <w:tc>
          <w:tcPr>
            <w:tcW w:type="dxa" w:w="4320"/>
          </w:tcPr>
          <w:p>
            <w:r>
              <w:t>Severe</w:t>
            </w:r>
          </w:p>
        </w:tc>
        <w:tc>
          <w:tcPr>
            <w:tcW w:type="dxa" w:w="4320"/>
          </w:tcPr>
          <w:p>
            <w:r>
              <w:t>Termination of employment, legal referral</w:t>
            </w:r>
          </w:p>
        </w:tc>
      </w:tr>
    </w:tbl>
    <w:p/>
    <w:p>
      <w:pPr>
        <w:pStyle w:val="Heading2"/>
      </w:pPr>
      <w:r>
        <w:t>8. Non-Retaliation Guarantee</w:t>
      </w:r>
    </w:p>
    <w:p>
      <w:r>
        <w:t>Contoso Ltd. prohibits retaliation against any employee who reports a concern in good faith. Any employee found to have engaged in retaliation will be subject to disciplinary action, up to and including termination.</w:t>
      </w:r>
    </w:p>
    <w:p>
      <w:pPr>
        <w:pStyle w:val="Heading2"/>
      </w:pPr>
      <w:r>
        <w:t>9. Annual Training</w:t>
      </w:r>
    </w:p>
    <w:p>
      <w:r>
        <w:t xml:space="preserve">All employees must complete the </w:t>
      </w:r>
      <w:r>
        <w:rPr>
          <w:b/>
        </w:rPr>
        <w:t>Workplace Conduct &amp; Ethics</w:t>
      </w:r>
      <w:r>
        <w:t xml:space="preserve"> training module annually by </w:t>
      </w:r>
      <w:r>
        <w:rPr>
          <w:b/>
        </w:rPr>
        <w:t>September 30</w:t>
      </w:r>
      <w:r>
        <w:t>. Completion is tracked in the Learning Management System and factored into performance evaluations.</w:t>
      </w:r>
    </w:p>
    <w:p>
      <w:pPr>
        <w:pStyle w:val="Heading2"/>
      </w:pPr>
      <w:r>
        <w:t>10. Contact</w:t>
      </w:r>
    </w:p>
    <w:p>
      <w:r>
        <w:t xml:space="preserve">For conduct-related concerns, contact </w:t>
      </w:r>
      <w:r>
        <w:rPr>
          <w:b/>
        </w:rPr>
        <w:t>hr-compliance@contoso.com</w:t>
      </w:r>
      <w:r>
        <w:t xml:space="preserve"> or the </w:t>
      </w:r>
      <w:r>
        <w:rPr>
          <w:b/>
        </w:rPr>
        <w:t>Ethics Hotline</w:t>
      </w:r>
      <w:r>
        <w:t xml:space="preserve"> at </w:t>
      </w:r>
      <w:r>
        <w:rPr>
          <w:b/>
        </w:rPr>
        <w:t>1-800-555-3849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