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Compensation &amp; Salary Administration Policy</w:t>
      </w:r>
    </w:p>
    <w:p>
      <w:r/>
      <w:r>
        <w:rPr>
          <w:b/>
        </w:rPr>
        <w:t>Policy ID:</w:t>
      </w:r>
      <w:r>
        <w:t xml:space="preserve"> HR-POL-002</w:t>
      </w:r>
    </w:p>
    <w:p>
      <w:r/>
      <w:r>
        <w:rPr>
          <w:b/>
        </w:rPr>
        <w:t>Effective Date:</w:t>
      </w:r>
      <w:r>
        <w:t xml:space="preserve"> March 1, 2025</w:t>
      </w:r>
    </w:p>
    <w:p>
      <w:r/>
      <w:r>
        <w:rPr>
          <w:b/>
        </w:rPr>
        <w:t>Last Revised:</w:t>
      </w:r>
      <w:r>
        <w:t xml:space="preserve"> November 10, 2025</w:t>
      </w:r>
    </w:p>
    <w:p>
      <w:r/>
      <w:r>
        <w:rPr>
          <w:b/>
        </w:rPr>
        <w:t>Approved By:</w:t>
      </w:r>
      <w:r>
        <w:t xml:space="preserve"> David Chen, Chief People Officer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Purpose</w:t>
      </w:r>
    </w:p>
    <w:p>
      <w:r>
        <w:t>This policy outlines the compensation philosophy, salary structures, and pay administration practices at Contoso Ltd.</w:t>
      </w:r>
    </w:p>
    <w:p>
      <w:pPr>
        <w:pStyle w:val="Heading2"/>
      </w:pPr>
      <w:r>
        <w:t>2. Compensation Philosophy</w:t>
      </w:r>
    </w:p>
    <w:p>
      <w:r>
        <w:t xml:space="preserve">Contoso Ltd. is committed to offering competitive, equitable, and transparent compensation. The company targets the </w:t>
      </w:r>
      <w:r>
        <w:rPr>
          <w:b/>
        </w:rPr>
        <w:t>60th percentile</w:t>
      </w:r>
      <w:r>
        <w:t xml:space="preserve"> of the market for base salaries and the </w:t>
      </w:r>
      <w:r>
        <w:rPr>
          <w:b/>
        </w:rPr>
        <w:t>75th percentile</w:t>
      </w:r>
      <w:r>
        <w:t xml:space="preserve"> for total compensation (base + bonus + equity).</w:t>
      </w:r>
    </w:p>
    <w:p>
      <w:pPr>
        <w:pStyle w:val="Heading2"/>
      </w:pPr>
      <w:r>
        <w:t>3. Salary Bands</w:t>
      </w:r>
    </w:p>
    <w:p>
      <w:r>
        <w:t>All positions are assigned to a salary band based on job level: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Salary Range (CAD)</w:t>
            </w:r>
          </w:p>
        </w:tc>
      </w:tr>
      <w:tr>
        <w:tc>
          <w:tcPr>
            <w:tcW w:type="dxa" w:w="2880"/>
          </w:tcPr>
          <w:p>
            <w:r>
              <w:t>1–3</w:t>
            </w:r>
          </w:p>
        </w:tc>
        <w:tc>
          <w:tcPr>
            <w:tcW w:type="dxa" w:w="2880"/>
          </w:tcPr>
          <w:p>
            <w:r>
              <w:t>Individual Contributor I</w:t>
            </w:r>
          </w:p>
        </w:tc>
        <w:tc>
          <w:tcPr>
            <w:tcW w:type="dxa" w:w="2880"/>
          </w:tcPr>
          <w:p>
            <w:r>
              <w:t>$45,000 – $75,000</w:t>
            </w:r>
          </w:p>
        </w:tc>
      </w:tr>
      <w:tr>
        <w:tc>
          <w:tcPr>
            <w:tcW w:type="dxa" w:w="2880"/>
          </w:tcPr>
          <w:p>
            <w:r>
              <w:t>4–5</w:t>
            </w:r>
          </w:p>
        </w:tc>
        <w:tc>
          <w:tcPr>
            <w:tcW w:type="dxa" w:w="2880"/>
          </w:tcPr>
          <w:p>
            <w:r>
              <w:t>Individual Contributor II</w:t>
            </w:r>
          </w:p>
        </w:tc>
        <w:tc>
          <w:tcPr>
            <w:tcW w:type="dxa" w:w="2880"/>
          </w:tcPr>
          <w:p>
            <w:r>
              <w:t>$70,000 – $110,000</w:t>
            </w:r>
          </w:p>
        </w:tc>
      </w:tr>
      <w:tr>
        <w:tc>
          <w:tcPr>
            <w:tcW w:type="dxa" w:w="2880"/>
          </w:tcPr>
          <w:p>
            <w:r>
              <w:t>6–7</w:t>
            </w:r>
          </w:p>
        </w:tc>
        <w:tc>
          <w:tcPr>
            <w:tcW w:type="dxa" w:w="2880"/>
          </w:tcPr>
          <w:p>
            <w:r>
              <w:t>Senior / Lead</w:t>
            </w:r>
          </w:p>
        </w:tc>
        <w:tc>
          <w:tcPr>
            <w:tcW w:type="dxa" w:w="2880"/>
          </w:tcPr>
          <w:p>
            <w:r>
              <w:t>$100,000 – $150,000</w:t>
            </w:r>
          </w:p>
        </w:tc>
      </w:tr>
      <w:tr>
        <w:tc>
          <w:tcPr>
            <w:tcW w:type="dxa" w:w="2880"/>
          </w:tcPr>
          <w:p>
            <w:r>
              <w:t>8–9</w:t>
            </w:r>
          </w:p>
        </w:tc>
        <w:tc>
          <w:tcPr>
            <w:tcW w:type="dxa" w:w="2880"/>
          </w:tcPr>
          <w:p>
            <w:r>
              <w:t>Manager / Director</w:t>
            </w:r>
          </w:p>
        </w:tc>
        <w:tc>
          <w:tcPr>
            <w:tcW w:type="dxa" w:w="2880"/>
          </w:tcPr>
          <w:p>
            <w:r>
              <w:t>$130,000 – $200,000</w:t>
            </w:r>
          </w:p>
        </w:tc>
      </w:tr>
      <w:tr>
        <w:tc>
          <w:tcPr>
            <w:tcW w:type="dxa" w:w="2880"/>
          </w:tcPr>
          <w:p>
            <w:r>
              <w:t>10+</w:t>
            </w:r>
          </w:p>
        </w:tc>
        <w:tc>
          <w:tcPr>
            <w:tcW w:type="dxa" w:w="2880"/>
          </w:tcPr>
          <w:p>
            <w:r>
              <w:t>VP / Executive</w:t>
            </w:r>
          </w:p>
        </w:tc>
        <w:tc>
          <w:tcPr>
            <w:tcW w:type="dxa" w:w="2880"/>
          </w:tcPr>
          <w:p>
            <w:r>
              <w:t>$180,000 – $300,000</w:t>
            </w:r>
          </w:p>
        </w:tc>
      </w:tr>
    </w:tbl>
    <w:p/>
    <w:p>
      <w:pPr>
        <w:pStyle w:val="Heading3"/>
      </w:pPr>
      <w:r>
        <w:t>3.1 Positioning Within a Band</w:t>
      </w:r>
    </w:p>
    <w:p>
      <w:r>
        <w:t>An employee's position within their salary band is determined by:</w:t>
      </w:r>
    </w:p>
    <w:p>
      <w:pPr>
        <w:pStyle w:val="ListBullet"/>
      </w:pPr>
      <w:r>
        <w:t>Experience and tenure</w:t>
      </w:r>
    </w:p>
    <w:p>
      <w:pPr>
        <w:pStyle w:val="ListBullet"/>
      </w:pPr>
      <w:r>
        <w:t>Performance ratings (see HR-POL-005)</w:t>
      </w:r>
    </w:p>
    <w:p>
      <w:pPr>
        <w:pStyle w:val="ListBullet"/>
      </w:pPr>
      <w:r>
        <w:t>Specialized skills and certifications</w:t>
      </w:r>
    </w:p>
    <w:p>
      <w:pPr>
        <w:pStyle w:val="ListBullet"/>
      </w:pPr>
      <w:r>
        <w:t>Internal equity comparisons</w:t>
      </w:r>
    </w:p>
    <w:p>
      <w:pPr>
        <w:pStyle w:val="Heading2"/>
      </w:pPr>
      <w:r>
        <w:t>4. Annual Salary Reviews</w:t>
      </w:r>
    </w:p>
    <w:p>
      <w:pPr>
        <w:pStyle w:val="ListBullet"/>
      </w:pPr>
      <w:r>
        <w:t xml:space="preserve">Salary reviews are conducted </w:t>
      </w:r>
      <w:r>
        <w:rPr>
          <w:b/>
        </w:rPr>
        <w:t>once per year</w:t>
      </w:r>
      <w:r>
        <w:t xml:space="preserve"> during the month of </w:t>
      </w:r>
      <w:r>
        <w:rPr>
          <w:b/>
        </w:rPr>
        <w:t>April</w:t>
      </w:r>
      <w:r>
        <w:t>.</w:t>
      </w:r>
    </w:p>
    <w:p>
      <w:pPr>
        <w:pStyle w:val="ListBullet"/>
      </w:pPr>
      <w:r>
        <w:t xml:space="preserve">All increases are effective </w:t>
      </w:r>
      <w:r>
        <w:rPr>
          <w:b/>
        </w:rPr>
        <w:t>May 1</w:t>
      </w:r>
      <w:r>
        <w:t xml:space="preserve"> of the review year.</w:t>
      </w:r>
    </w:p>
    <w:p>
      <w:pPr>
        <w:pStyle w:val="ListBullet"/>
      </w:pPr>
      <w:r>
        <w:t>Merit increases are determined by the employee's most recent annual performance rating: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Performance Rating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Typical Merit Increase</w:t>
            </w:r>
          </w:p>
        </w:tc>
      </w:tr>
      <w:tr>
        <w:tc>
          <w:tcPr>
            <w:tcW w:type="dxa" w:w="4320"/>
          </w:tcPr>
          <w:p>
            <w:r>
              <w:t>Exceeds Expectations</w:t>
            </w:r>
          </w:p>
        </w:tc>
        <w:tc>
          <w:tcPr>
            <w:tcW w:type="dxa" w:w="4320"/>
          </w:tcPr>
          <w:p>
            <w:r>
              <w:t>5% – 8%</w:t>
            </w:r>
          </w:p>
        </w:tc>
      </w:tr>
      <w:tr>
        <w:tc>
          <w:tcPr>
            <w:tcW w:type="dxa" w:w="4320"/>
          </w:tcPr>
          <w:p>
            <w:r>
              <w:t>Meets Expectations</w:t>
            </w:r>
          </w:p>
        </w:tc>
        <w:tc>
          <w:tcPr>
            <w:tcW w:type="dxa" w:w="4320"/>
          </w:tcPr>
          <w:p>
            <w:r>
              <w:t>2% – 4%</w:t>
            </w:r>
          </w:p>
        </w:tc>
      </w:tr>
      <w:tr>
        <w:tc>
          <w:tcPr>
            <w:tcW w:type="dxa" w:w="4320"/>
          </w:tcPr>
          <w:p>
            <w:r>
              <w:t>Needs Improvement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p/>
    <w:p>
      <w:pPr>
        <w:pStyle w:val="ListBullet"/>
      </w:pPr>
      <w:r>
        <w:t>Employees rated "Needs Improvement" are not eligible for a merit increase and will be placed on a Performance Improvement Plan (PIP) per HR-POL-006.</w:t>
      </w:r>
    </w:p>
    <w:p>
      <w:pPr>
        <w:pStyle w:val="Heading2"/>
      </w:pPr>
      <w:r>
        <w:t>5. Promotions and Adjustments</w:t>
      </w:r>
    </w:p>
    <w:p>
      <w:pPr>
        <w:pStyle w:val="ListBullet"/>
      </w:pPr>
      <w:r>
        <w:t xml:space="preserve">Promotional increases are typically </w:t>
      </w:r>
      <w:r>
        <w:rPr>
          <w:b/>
        </w:rPr>
        <w:t>8% – 15%</w:t>
      </w:r>
      <w:r>
        <w:t xml:space="preserve"> of the employee's current base salary.</w:t>
      </w:r>
    </w:p>
    <w:p>
      <w:pPr>
        <w:pStyle w:val="ListBullet"/>
      </w:pPr>
      <w:r>
        <w:t>Market adjustments may be made outside the annual review cycle with VP-level approval and HR concurrence.</w:t>
      </w:r>
    </w:p>
    <w:p>
      <w:pPr>
        <w:pStyle w:val="ListBullet"/>
      </w:pPr>
      <w:r>
        <w:t>Cost-of-living adjustments (COLA) are evaluated annually and applied at the company's discretion.</w:t>
      </w:r>
    </w:p>
    <w:p>
      <w:pPr>
        <w:pStyle w:val="Heading2"/>
      </w:pPr>
      <w:r>
        <w:t>6. Pay Equity</w:t>
      </w:r>
    </w:p>
    <w:p>
      <w:r>
        <w:t>Contoso Ltd. conducts an annual pay equity audit. Any discrepancies identified based on gender, ethnicity, or other protected characteristics are remediated within 60 days of the audit's completion.</w:t>
      </w:r>
    </w:p>
    <w:p>
      <w:pPr>
        <w:pStyle w:val="Heading2"/>
      </w:pPr>
      <w:r>
        <w:t>7. Overtime</w:t>
      </w:r>
    </w:p>
    <w:p>
      <w:pPr>
        <w:pStyle w:val="ListBullet"/>
      </w:pPr>
      <w:r>
        <w:t xml:space="preserve">Non-exempt employees (Levels 1–5) are eligible for overtime pay at </w:t>
      </w:r>
      <w:r>
        <w:rPr>
          <w:b/>
        </w:rPr>
        <w:t>1.5× their regular hourly rate</w:t>
      </w:r>
      <w:r>
        <w:t xml:space="preserve"> for hours worked beyond 40 in a workweek.</w:t>
      </w:r>
    </w:p>
    <w:p>
      <w:pPr>
        <w:pStyle w:val="ListBullet"/>
      </w:pPr>
      <w:r>
        <w:t>Overtime must be pre-approved by the employee's direct manager.</w:t>
      </w:r>
    </w:p>
    <w:p>
      <w:pPr>
        <w:pStyle w:val="Heading2"/>
      </w:pPr>
      <w:r>
        <w:t>8. Contact</w:t>
      </w:r>
    </w:p>
    <w:p>
      <w:r>
        <w:t xml:space="preserve">For questions about compensation, contact the </w:t>
      </w:r>
      <w:r>
        <w:rPr>
          <w:b/>
        </w:rPr>
        <w:t>Total Rewards Team</w:t>
      </w:r>
      <w:r>
        <w:t xml:space="preserve"> at </w:t>
      </w:r>
      <w:r>
        <w:rPr>
          <w:b/>
        </w:rPr>
        <w:t>total-rewards@contoso.com</w:t>
      </w:r>
      <w:r>
        <w:t xml:space="preserve"> or ext. </w:t>
      </w:r>
      <w:r>
        <w:rPr>
          <w:b/>
        </w:rPr>
        <w:t>4520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