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Learning &amp; Professional Development Policy</w:t>
      </w:r>
    </w:p>
    <w:p>
      <w:r/>
      <w:r>
        <w:rPr>
          <w:b/>
        </w:rPr>
        <w:t>Policy ID:</w:t>
      </w:r>
      <w:r>
        <w:t xml:space="preserve"> HR-POL-008</w:t>
      </w:r>
    </w:p>
    <w:p>
      <w:r/>
      <w:r>
        <w:rPr>
          <w:b/>
        </w:rPr>
        <w:t>Effective Date:</w:t>
      </w:r>
      <w:r>
        <w:t xml:space="preserve"> April 1, 2025</w:t>
      </w:r>
    </w:p>
    <w:p>
      <w:r/>
      <w:r>
        <w:rPr>
          <w:b/>
        </w:rPr>
        <w:t>Last Revised:</w:t>
      </w:r>
      <w:r>
        <w:t xml:space="preserve"> September 30, 2025</w:t>
      </w:r>
    </w:p>
    <w:p>
      <w:r/>
      <w:r>
        <w:rPr>
          <w:b/>
        </w:rPr>
        <w:t>Approved By:</w:t>
      </w:r>
      <w:r>
        <w:t xml:space="preserve"> Sarah Mitchell, VP of Human Resources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Purpose</w:t>
      </w:r>
    </w:p>
    <w:p>
      <w:r>
        <w:t>This policy outlines the professional development benefits and expectations for all employees at Contoso Ltd., reinforcing the company's commitment to continuous learning.</w:t>
      </w:r>
    </w:p>
    <w:p>
      <w:pPr>
        <w:pStyle w:val="Heading2"/>
      </w:pPr>
      <w:r>
        <w:t>2. Learning &amp; Development Budget</w:t>
      </w:r>
    </w:p>
    <w:p>
      <w:r>
        <w:t xml:space="preserve">Each full-time employee is entitled to an annual </w:t>
      </w:r>
      <w:r>
        <w:rPr>
          <w:b/>
        </w:rPr>
        <w:t>Learning &amp; Development (L&amp;D) budget</w:t>
      </w:r>
      <w:r>
        <w:t xml:space="preserve"> based on their job level: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Level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Annual L&amp;D Budget (CAD)</w:t>
            </w:r>
          </w:p>
        </w:tc>
      </w:tr>
      <w:tr>
        <w:tc>
          <w:tcPr>
            <w:tcW w:type="dxa" w:w="4320"/>
          </w:tcPr>
          <w:p>
            <w:r>
              <w:t>1–3</w:t>
            </w:r>
          </w:p>
        </w:tc>
        <w:tc>
          <w:tcPr>
            <w:tcW w:type="dxa" w:w="4320"/>
          </w:tcPr>
          <w:p>
            <w:r>
              <w:t>$1,500</w:t>
            </w:r>
          </w:p>
        </w:tc>
      </w:tr>
      <w:tr>
        <w:tc>
          <w:tcPr>
            <w:tcW w:type="dxa" w:w="4320"/>
          </w:tcPr>
          <w:p>
            <w:r>
              <w:t>4–5</w:t>
            </w:r>
          </w:p>
        </w:tc>
        <w:tc>
          <w:tcPr>
            <w:tcW w:type="dxa" w:w="4320"/>
          </w:tcPr>
          <w:p>
            <w:r>
              <w:t>$2,500</w:t>
            </w:r>
          </w:p>
        </w:tc>
      </w:tr>
      <w:tr>
        <w:tc>
          <w:tcPr>
            <w:tcW w:type="dxa" w:w="4320"/>
          </w:tcPr>
          <w:p>
            <w:r>
              <w:t>6–7</w:t>
            </w:r>
          </w:p>
        </w:tc>
        <w:tc>
          <w:tcPr>
            <w:tcW w:type="dxa" w:w="4320"/>
          </w:tcPr>
          <w:p>
            <w:r>
              <w:t>$3,500</w:t>
            </w:r>
          </w:p>
        </w:tc>
      </w:tr>
      <w:tr>
        <w:tc>
          <w:tcPr>
            <w:tcW w:type="dxa" w:w="4320"/>
          </w:tcPr>
          <w:p>
            <w:r>
              <w:t>8+</w:t>
            </w:r>
          </w:p>
        </w:tc>
        <w:tc>
          <w:tcPr>
            <w:tcW w:type="dxa" w:w="4320"/>
          </w:tcPr>
          <w:p>
            <w:r>
              <w:t>$5,000</w:t>
            </w:r>
          </w:p>
        </w:tc>
      </w:tr>
    </w:tbl>
    <w:p/>
    <w:p>
      <w:pPr>
        <w:pStyle w:val="Heading3"/>
      </w:pPr>
      <w:r>
        <w:t>2.1 Eligible Expenses</w:t>
      </w:r>
    </w:p>
    <w:p>
      <w:r>
        <w:t>The L&amp;D budget may be used for:</w:t>
      </w:r>
    </w:p>
    <w:p>
      <w:pPr>
        <w:pStyle w:val="ListBullet"/>
      </w:pPr>
      <w:r>
        <w:t>Online courses, MOOCs, and e-learning platforms (e.g., Coursera, Udemy, LinkedIn Learning)</w:t>
      </w:r>
    </w:p>
    <w:p>
      <w:pPr>
        <w:pStyle w:val="ListBullet"/>
      </w:pPr>
      <w:r>
        <w:t>Professional conferences and workshops (registration fees only; travel is covered separately per HR-POL-009)</w:t>
      </w:r>
    </w:p>
    <w:p>
      <w:pPr>
        <w:pStyle w:val="ListBullet"/>
      </w:pPr>
      <w:r>
        <w:t>Professional certifications and exam fees</w:t>
      </w:r>
    </w:p>
    <w:p>
      <w:pPr>
        <w:pStyle w:val="ListBullet"/>
      </w:pPr>
      <w:r>
        <w:t>Technical books and publications</w:t>
      </w:r>
    </w:p>
    <w:p>
      <w:pPr>
        <w:pStyle w:val="ListBullet"/>
      </w:pPr>
      <w:r>
        <w:t>Professional association memberships</w:t>
      </w:r>
    </w:p>
    <w:p>
      <w:pPr>
        <w:pStyle w:val="Heading3"/>
      </w:pPr>
      <w:r>
        <w:t>2.2 Ineligible Expenses</w:t>
      </w:r>
    </w:p>
    <w:p>
      <w:pPr>
        <w:pStyle w:val="ListBullet"/>
      </w:pPr>
      <w:r>
        <w:t>Degree programs (undergraduate or graduate) — see Section 4 for Tuition Assistance</w:t>
      </w:r>
    </w:p>
    <w:p>
      <w:pPr>
        <w:pStyle w:val="ListBullet"/>
      </w:pPr>
      <w:r>
        <w:t>Hardware or equipment</w:t>
      </w:r>
    </w:p>
    <w:p>
      <w:pPr>
        <w:pStyle w:val="ListBullet"/>
      </w:pPr>
      <w:r>
        <w:t>Entertainment or team social events</w:t>
      </w:r>
    </w:p>
    <w:p>
      <w:pPr>
        <w:pStyle w:val="Heading2"/>
      </w:pPr>
      <w:r>
        <w:t>3. Learning Time</w:t>
      </w:r>
    </w:p>
    <w:p>
      <w:pPr>
        <w:pStyle w:val="ListBullet"/>
      </w:pPr>
      <w:r>
        <w:t xml:space="preserve">Employees are encouraged to dedicate up to </w:t>
      </w:r>
      <w:r>
        <w:rPr>
          <w:b/>
        </w:rPr>
        <w:t>4 hours per month</w:t>
      </w:r>
      <w:r>
        <w:t xml:space="preserve"> (during work hours) to professional development activities.</w:t>
      </w:r>
    </w:p>
    <w:p>
      <w:pPr>
        <w:pStyle w:val="ListBullet"/>
      </w:pPr>
      <w:r>
        <w:t xml:space="preserve">Learning time does not require prior manager approval but must be logged in the </w:t>
      </w:r>
      <w:r>
        <w:rPr>
          <w:b/>
        </w:rPr>
        <w:t>Learning Management System (LMS)</w:t>
      </w:r>
      <w:r>
        <w:t>.</w:t>
      </w:r>
    </w:p>
    <w:p>
      <w:pPr>
        <w:pStyle w:val="ListBullet"/>
      </w:pPr>
      <w:r>
        <w:t>Managers may temporarily restrict learning time during critical project phases with at least 1 week's notice.</w:t>
      </w:r>
    </w:p>
    <w:p>
      <w:pPr>
        <w:pStyle w:val="Heading2"/>
      </w:pPr>
      <w:r>
        <w:t>4. Tuition Assistance Program</w:t>
      </w:r>
    </w:p>
    <w:p>
      <w:r>
        <w:t xml:space="preserve">Employees who have completed </w:t>
      </w:r>
      <w:r>
        <w:rPr>
          <w:b/>
        </w:rPr>
        <w:t>2 years</w:t>
      </w:r>
      <w:r>
        <w:t xml:space="preserve"> of continuous employment may apply for the </w:t>
      </w:r>
      <w:r>
        <w:rPr>
          <w:b/>
        </w:rPr>
        <w:t>Tuition Assistance Program (TAP)</w:t>
      </w:r>
      <w:r>
        <w:t xml:space="preserve"> for accredited degree programs relevant to their current role or career path at Contoso: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Degree Level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Maximum Annual Reimbursement</w:t>
            </w:r>
          </w:p>
        </w:tc>
      </w:tr>
      <w:tr>
        <w:tc>
          <w:tcPr>
            <w:tcW w:type="dxa" w:w="4320"/>
          </w:tcPr>
          <w:p>
            <w:r>
              <w:t>Bachelor's</w:t>
            </w:r>
          </w:p>
        </w:tc>
        <w:tc>
          <w:tcPr>
            <w:tcW w:type="dxa" w:w="4320"/>
          </w:tcPr>
          <w:p>
            <w:r>
              <w:t>$5,000</w:t>
            </w:r>
          </w:p>
        </w:tc>
      </w:tr>
      <w:tr>
        <w:tc>
          <w:tcPr>
            <w:tcW w:type="dxa" w:w="4320"/>
          </w:tcPr>
          <w:p>
            <w:r>
              <w:t>Master's</w:t>
            </w:r>
          </w:p>
        </w:tc>
        <w:tc>
          <w:tcPr>
            <w:tcW w:type="dxa" w:w="4320"/>
          </w:tcPr>
          <w:p>
            <w:r>
              <w:t>$8,000</w:t>
            </w:r>
          </w:p>
        </w:tc>
      </w:tr>
      <w:tr>
        <w:tc>
          <w:tcPr>
            <w:tcW w:type="dxa" w:w="4320"/>
          </w:tcPr>
          <w:p>
            <w:r>
              <w:t>Doctorate</w:t>
            </w:r>
          </w:p>
        </w:tc>
        <w:tc>
          <w:tcPr>
            <w:tcW w:type="dxa" w:w="4320"/>
          </w:tcPr>
          <w:p>
            <w:r>
              <w:t>$10,000</w:t>
            </w:r>
          </w:p>
        </w:tc>
      </w:tr>
    </w:tbl>
    <w:p/>
    <w:p>
      <w:r/>
      <w:r>
        <w:rPr>
          <w:b/>
        </w:rPr>
        <w:t>Conditions:</w:t>
      </w:r>
      <w:r/>
    </w:p>
    <w:p>
      <w:pPr>
        <w:pStyle w:val="ListBullet"/>
      </w:pPr>
      <w:r>
        <w:t xml:space="preserve">The employee must maintain a minimum </w:t>
      </w:r>
      <w:r>
        <w:rPr>
          <w:b/>
        </w:rPr>
        <w:t>GPA of 3.0</w:t>
      </w:r>
      <w:r>
        <w:t xml:space="preserve"> (or equivalent).</w:t>
      </w:r>
    </w:p>
    <w:p>
      <w:pPr>
        <w:pStyle w:val="ListBullet"/>
      </w:pPr>
      <w:r>
        <w:t>Reimbursement is paid after successful completion of each semester/term upon submission of transcripts and receipts.</w:t>
      </w:r>
    </w:p>
    <w:p>
      <w:pPr>
        <w:pStyle w:val="ListBullet"/>
      </w:pPr>
      <w:r>
        <w:t xml:space="preserve">If the employee leaves Contoso within </w:t>
      </w:r>
      <w:r>
        <w:rPr>
          <w:b/>
        </w:rPr>
        <w:t>12 months</w:t>
      </w:r>
      <w:r>
        <w:t xml:space="preserve"> of receiving tuition assistance, the full amount for the most recent year must be repaid.</w:t>
      </w:r>
    </w:p>
    <w:p>
      <w:pPr>
        <w:pStyle w:val="Heading2"/>
      </w:pPr>
      <w:r>
        <w:t>5. Mandatory Training</w:t>
      </w:r>
    </w:p>
    <w:p>
      <w:r>
        <w:t>All employees must complete the following mandatory training annually:</w:t>
      </w:r>
    </w:p>
    <w:p>
      <w:pPr>
        <w:pStyle w:val="ListBullet"/>
      </w:pPr>
      <w:r/>
      <w:r>
        <w:rPr>
          <w:b/>
        </w:rPr>
        <w:t>Information Security Awareness</w:t>
      </w:r>
      <w:r>
        <w:t xml:space="preserve"> (due by March 31)</w:t>
      </w:r>
    </w:p>
    <w:p>
      <w:pPr>
        <w:pStyle w:val="ListBullet"/>
      </w:pPr>
      <w:r/>
      <w:r>
        <w:rPr>
          <w:b/>
        </w:rPr>
        <w:t>Workplace Harassment Prevention</w:t>
      </w:r>
      <w:r>
        <w:t xml:space="preserve"> (due by June 30)</w:t>
      </w:r>
    </w:p>
    <w:p>
      <w:pPr>
        <w:pStyle w:val="ListBullet"/>
      </w:pPr>
      <w:r/>
      <w:r>
        <w:rPr>
          <w:b/>
        </w:rPr>
        <w:t>Code of Conduct Refresher</w:t>
      </w:r>
      <w:r>
        <w:t xml:space="preserve"> (due by September 30)</w:t>
      </w:r>
    </w:p>
    <w:p>
      <w:r>
        <w:t>Failure to complete mandatory training by the deadline may result in access restrictions and will be noted in the employee's performance record.</w:t>
      </w:r>
    </w:p>
    <w:p>
      <w:pPr>
        <w:pStyle w:val="Heading2"/>
      </w:pPr>
      <w:r>
        <w:t>6. Internal Mentorship Program</w:t>
      </w:r>
    </w:p>
    <w:p>
      <w:r>
        <w:t xml:space="preserve">Contoso Ltd. offers a voluntary </w:t>
      </w:r>
      <w:r>
        <w:rPr>
          <w:b/>
        </w:rPr>
        <w:t>Internal Mentorship Program</w:t>
      </w:r>
      <w:r>
        <w:t xml:space="preserve"> matching employees with senior leaders for 6-month engagements. Applications open in January and July each year via the HR Portal.</w:t>
      </w:r>
    </w:p>
    <w:p>
      <w:pPr>
        <w:pStyle w:val="Heading2"/>
      </w:pPr>
      <w:r>
        <w:t>7. Contact</w:t>
      </w:r>
    </w:p>
    <w:p>
      <w:r>
        <w:t xml:space="preserve">For L&amp;D questions, contact the </w:t>
      </w:r>
      <w:r>
        <w:rPr>
          <w:b/>
        </w:rPr>
        <w:t>Learning &amp; Development Team</w:t>
      </w:r>
      <w:r>
        <w:t xml:space="preserve"> at </w:t>
      </w:r>
      <w:r>
        <w:rPr>
          <w:b/>
        </w:rPr>
        <w:t>learning@contoso.com</w:t>
      </w:r>
      <w:r>
        <w:t xml:space="preserve"> or ext. </w:t>
      </w:r>
      <w:r>
        <w:rPr>
          <w:b/>
        </w:rPr>
        <w:t>4540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