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Evaluation Policy</w:t>
      </w:r>
    </w:p>
    <w:p>
      <w:r/>
      <w:r>
        <w:rPr>
          <w:b/>
        </w:rPr>
        <w:t>Policy ID:</w:t>
      </w:r>
      <w:r>
        <w:t xml:space="preserve"> HR-POL-005</w:t>
      </w:r>
    </w:p>
    <w:p>
      <w:r/>
      <w:r>
        <w:rPr>
          <w:b/>
        </w:rPr>
        <w:t>Effective Date:</w:t>
      </w:r>
      <w:r>
        <w:t xml:space="preserve"> January 1, 2025</w:t>
      </w:r>
    </w:p>
    <w:p>
      <w:r/>
      <w:r>
        <w:rPr>
          <w:b/>
        </w:rPr>
        <w:t>Last Revised:</w:t>
      </w:r>
      <w:r>
        <w:t xml:space="preserve"> October 1, 2025</w:t>
      </w:r>
    </w:p>
    <w:p>
      <w:r/>
      <w:r>
        <w:rPr>
          <w:b/>
        </w:rPr>
        <w:t>Approved By:</w:t>
      </w:r>
      <w:r>
        <w:t xml:space="preserve"> Sarah Mitchell, VP of Human Resources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establishes the framework for evaluating employee performance at Contoso Ltd. to support professional growth, ensure accountability, and align individual contributions with company objectives.</w:t>
      </w:r>
    </w:p>
    <w:p>
      <w:pPr>
        <w:pStyle w:val="Heading2"/>
      </w:pPr>
      <w:r>
        <w:t>2. Evaluation Cycle</w:t>
      </w:r>
    </w:p>
    <w:p>
      <w:r>
        <w:t xml:space="preserve">The performance evaluation cycle runs on a </w:t>
      </w:r>
      <w:r>
        <w:rPr>
          <w:b/>
        </w:rPr>
        <w:t>calendar-year basis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Timing</w:t>
            </w:r>
          </w:p>
        </w:tc>
      </w:tr>
      <w:tr>
        <w:tc>
          <w:tcPr>
            <w:tcW w:type="dxa" w:w="4320"/>
          </w:tcPr>
          <w:p>
            <w:r>
              <w:t>Goal Setting</w:t>
            </w:r>
          </w:p>
        </w:tc>
        <w:tc>
          <w:tcPr>
            <w:tcW w:type="dxa" w:w="4320"/>
          </w:tcPr>
          <w:p>
            <w:r>
              <w:t>January 1 – January 31</w:t>
            </w:r>
          </w:p>
        </w:tc>
      </w:tr>
      <w:tr>
        <w:tc>
          <w:tcPr>
            <w:tcW w:type="dxa" w:w="4320"/>
          </w:tcPr>
          <w:p>
            <w:r>
              <w:t>Mid-Year Check-In</w:t>
            </w:r>
          </w:p>
        </w:tc>
        <w:tc>
          <w:tcPr>
            <w:tcW w:type="dxa" w:w="4320"/>
          </w:tcPr>
          <w:p>
            <w:r>
              <w:t>June 15 – July 15</w:t>
            </w:r>
          </w:p>
        </w:tc>
      </w:tr>
      <w:tr>
        <w:tc>
          <w:tcPr>
            <w:tcW w:type="dxa" w:w="4320"/>
          </w:tcPr>
          <w:p>
            <w:r>
              <w:t>Self-Assessment</w:t>
            </w:r>
          </w:p>
        </w:tc>
        <w:tc>
          <w:tcPr>
            <w:tcW w:type="dxa" w:w="4320"/>
          </w:tcPr>
          <w:p>
            <w:r>
              <w:t>November 1 – November 15</w:t>
            </w:r>
          </w:p>
        </w:tc>
      </w:tr>
      <w:tr>
        <w:tc>
          <w:tcPr>
            <w:tcW w:type="dxa" w:w="4320"/>
          </w:tcPr>
          <w:p>
            <w:r>
              <w:t>Manager Assessment</w:t>
            </w:r>
          </w:p>
        </w:tc>
        <w:tc>
          <w:tcPr>
            <w:tcW w:type="dxa" w:w="4320"/>
          </w:tcPr>
          <w:p>
            <w:r>
              <w:t>November 15 – December 15</w:t>
            </w:r>
          </w:p>
        </w:tc>
      </w:tr>
      <w:tr>
        <w:tc>
          <w:tcPr>
            <w:tcW w:type="dxa" w:w="4320"/>
          </w:tcPr>
          <w:p>
            <w:r>
              <w:t>Calibration</w:t>
            </w:r>
          </w:p>
        </w:tc>
        <w:tc>
          <w:tcPr>
            <w:tcW w:type="dxa" w:w="4320"/>
          </w:tcPr>
          <w:p>
            <w:r>
              <w:t>December 15 – January 15</w:t>
            </w:r>
          </w:p>
        </w:tc>
      </w:tr>
      <w:tr>
        <w:tc>
          <w:tcPr>
            <w:tcW w:type="dxa" w:w="4320"/>
          </w:tcPr>
          <w:p>
            <w:r>
              <w:t>Final Review Delivered</w:t>
            </w:r>
          </w:p>
        </w:tc>
        <w:tc>
          <w:tcPr>
            <w:tcW w:type="dxa" w:w="4320"/>
          </w:tcPr>
          <w:p>
            <w:r>
              <w:t>February 1 – February 15</w:t>
            </w:r>
          </w:p>
        </w:tc>
      </w:tr>
    </w:tbl>
    <w:p/>
    <w:p>
      <w:pPr>
        <w:pStyle w:val="Heading2"/>
      </w:pPr>
      <w:r>
        <w:t>3. Rating Scale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Exceeds Expectations</w:t>
            </w:r>
          </w:p>
        </w:tc>
        <w:tc>
          <w:tcPr>
            <w:tcW w:type="dxa" w:w="4320"/>
          </w:tcPr>
          <w:p>
            <w:r>
              <w:t>Consistently delivers results significantly above the expectations for the role. Demonstrates exceptional initiative.</w:t>
            </w:r>
          </w:p>
        </w:tc>
      </w:tr>
      <w:tr>
        <w:tc>
          <w:tcPr>
            <w:tcW w:type="dxa" w:w="4320"/>
          </w:tcPr>
          <w:p>
            <w:r>
              <w:t>Meets Expectations</w:t>
            </w:r>
          </w:p>
        </w:tc>
        <w:tc>
          <w:tcPr>
            <w:tcW w:type="dxa" w:w="4320"/>
          </w:tcPr>
          <w:p>
            <w:r>
              <w:t>Reliably delivers quality work that meets or occasionally exceeds role requirements.</w:t>
            </w:r>
          </w:p>
        </w:tc>
      </w:tr>
      <w:tr>
        <w:tc>
          <w:tcPr>
            <w:tcW w:type="dxa" w:w="4320"/>
          </w:tcPr>
          <w:p>
            <w:r>
              <w:t>Needs Improvement</w:t>
            </w:r>
          </w:p>
        </w:tc>
        <w:tc>
          <w:tcPr>
            <w:tcW w:type="dxa" w:w="4320"/>
          </w:tcPr>
          <w:p>
            <w:r>
              <w:t>Performance falls below expectations in one or more critical areas. Requires targeted support and a development plan.</w:t>
            </w:r>
          </w:p>
        </w:tc>
      </w:tr>
    </w:tbl>
    <w:p/>
    <w:p>
      <w:pPr>
        <w:pStyle w:val="Heading2"/>
      </w:pPr>
      <w:r>
        <w:t>4. Goal Setting</w:t>
      </w:r>
    </w:p>
    <w:p>
      <w:pPr>
        <w:pStyle w:val="ListBullet"/>
      </w:pPr>
      <w:r>
        <w:t xml:space="preserve">Each employee must set </w:t>
      </w:r>
      <w:r>
        <w:rPr>
          <w:b/>
        </w:rPr>
        <w:t>3 to 5 measurable goals</w:t>
      </w:r>
      <w:r>
        <w:t xml:space="preserve"> aligned with team and company objectives.</w:t>
      </w:r>
    </w:p>
    <w:p>
      <w:pPr>
        <w:pStyle w:val="ListBullet"/>
      </w:pPr>
      <w:r>
        <w:t xml:space="preserve">Goals must follow the </w:t>
      </w:r>
      <w:r>
        <w:rPr>
          <w:b/>
        </w:rPr>
        <w:t>SMART framework</w:t>
      </w:r>
      <w:r>
        <w:t xml:space="preserve"> (Specific, Measurable, Achievable, Relevant, Time-bound).</w:t>
      </w:r>
    </w:p>
    <w:p>
      <w:pPr>
        <w:pStyle w:val="ListBullet"/>
      </w:pPr>
      <w:r>
        <w:t xml:space="preserve">Goals must be entered in the </w:t>
      </w:r>
      <w:r>
        <w:rPr>
          <w:b/>
        </w:rPr>
        <w:t>Performance Management System</w:t>
      </w:r>
      <w:r>
        <w:t xml:space="preserve"> and approved by the employee's manager by January 31.</w:t>
      </w:r>
    </w:p>
    <w:p>
      <w:pPr>
        <w:pStyle w:val="Heading2"/>
      </w:pPr>
      <w:r>
        <w:t>5. Mid-Year Check-In</w:t>
      </w:r>
    </w:p>
    <w:p>
      <w:r>
        <w:t>The mid-year check-in is a mandatory conversation between the employee and their manager to:</w:t>
      </w:r>
    </w:p>
    <w:p>
      <w:pPr>
        <w:pStyle w:val="ListBullet"/>
      </w:pPr>
      <w:r>
        <w:t>Review progress against goals</w:t>
      </w:r>
    </w:p>
    <w:p>
      <w:pPr>
        <w:pStyle w:val="ListBullet"/>
      </w:pPr>
      <w:r>
        <w:t>Identify obstacles and adjust goals if necessary</w:t>
      </w:r>
    </w:p>
    <w:p>
      <w:pPr>
        <w:pStyle w:val="ListBullet"/>
      </w:pPr>
      <w:r>
        <w:t>Discuss development opportunities</w:t>
      </w:r>
    </w:p>
    <w:p>
      <w:r>
        <w:t>No formal rating is assigned during the mid-year check-in. A written summary must be recorded in the Performance Management System.</w:t>
      </w:r>
    </w:p>
    <w:p>
      <w:pPr>
        <w:pStyle w:val="Heading2"/>
      </w:pPr>
      <w:r>
        <w:t>6. Self-Assessment</w:t>
      </w:r>
    </w:p>
    <w:p>
      <w:r>
        <w:t>Employees are required to complete a self-assessment in November covering:</w:t>
      </w:r>
    </w:p>
    <w:p>
      <w:pPr>
        <w:pStyle w:val="ListBullet"/>
      </w:pPr>
      <w:r>
        <w:t>Progress and achievements against each goal</w:t>
      </w:r>
    </w:p>
    <w:p>
      <w:pPr>
        <w:pStyle w:val="ListBullet"/>
      </w:pPr>
      <w:r>
        <w:t>Key contributions and impact</w:t>
      </w:r>
    </w:p>
    <w:p>
      <w:pPr>
        <w:pStyle w:val="ListBullet"/>
      </w:pPr>
      <w:r>
        <w:t>Areas for development</w:t>
      </w:r>
    </w:p>
    <w:p>
      <w:pPr>
        <w:pStyle w:val="ListBullet"/>
      </w:pPr>
      <w:r>
        <w:t>Career aspirations</w:t>
      </w:r>
    </w:p>
    <w:p>
      <w:pPr>
        <w:pStyle w:val="Heading2"/>
      </w:pPr>
      <w:r>
        <w:t>7. Manager Assessment &amp; Calibration</w:t>
      </w:r>
    </w:p>
    <w:p>
      <w:pPr>
        <w:pStyle w:val="ListBullet"/>
      </w:pPr>
      <w:r>
        <w:t>Managers assess each direct report against goals and competencies.</w:t>
      </w:r>
    </w:p>
    <w:p>
      <w:pPr>
        <w:pStyle w:val="ListBullet"/>
      </w:pPr>
      <w:r/>
      <w:r>
        <w:rPr>
          <w:b/>
        </w:rPr>
        <w:t>Calibration sessions</w:t>
      </w:r>
      <w:r>
        <w:t xml:space="preserve"> are held at the department level to ensure fairness and consistency of ratings across teams.</w:t>
      </w:r>
    </w:p>
    <w:p>
      <w:pPr>
        <w:pStyle w:val="ListBullet"/>
      </w:pPr>
      <w:r>
        <w:t>Calibration decisions are final and cannot be appealed.</w:t>
      </w:r>
    </w:p>
    <w:p>
      <w:pPr>
        <w:pStyle w:val="Heading2"/>
      </w:pPr>
      <w:r>
        <w:t>8. Feedback &amp; Delivery</w:t>
      </w:r>
    </w:p>
    <w:p>
      <w:pPr>
        <w:pStyle w:val="ListBullet"/>
      </w:pPr>
      <w:r>
        <w:t xml:space="preserve">Final performance reviews must be delivered in a </w:t>
      </w:r>
      <w:r>
        <w:rPr>
          <w:b/>
        </w:rPr>
        <w:t>one-on-one meeting</w:t>
      </w:r>
      <w:r>
        <w:t xml:space="preserve"> between the manager and employee.</w:t>
      </w:r>
    </w:p>
    <w:p>
      <w:pPr>
        <w:pStyle w:val="ListBullet"/>
      </w:pPr>
      <w:r>
        <w:t>Reviews must not be delivered solely via email or the Performance Management System.</w:t>
      </w:r>
    </w:p>
    <w:p>
      <w:pPr>
        <w:pStyle w:val="ListBullet"/>
      </w:pPr>
      <w:r>
        <w:t>Employees must acknowledge receipt of their review by signing in the system within 5 business days.</w:t>
      </w:r>
    </w:p>
    <w:p>
      <w:pPr>
        <w:pStyle w:val="Heading2"/>
      </w:pPr>
      <w:r>
        <w:t>9. Impact on Compensation</w:t>
      </w:r>
    </w:p>
    <w:p>
      <w:r>
        <w:t>Performance ratings directly influence:</w:t>
      </w:r>
    </w:p>
    <w:p>
      <w:pPr>
        <w:pStyle w:val="ListBullet"/>
      </w:pPr>
      <w:r/>
      <w:r>
        <w:rPr>
          <w:b/>
        </w:rPr>
        <w:t>Merit increases</w:t>
      </w:r>
      <w:r>
        <w:t xml:space="preserve"> (see HR-POL-002)</w:t>
      </w:r>
    </w:p>
    <w:p>
      <w:pPr>
        <w:pStyle w:val="ListBullet"/>
      </w:pPr>
      <w:r/>
      <w:r>
        <w:rPr>
          <w:b/>
        </w:rPr>
        <w:t>Bonus eligibility</w:t>
      </w:r>
      <w:r>
        <w:t xml:space="preserve"> (see HR-POL-007)</w:t>
      </w:r>
    </w:p>
    <w:p>
      <w:pPr>
        <w:pStyle w:val="ListBullet"/>
      </w:pPr>
      <w:r/>
      <w:r>
        <w:rPr>
          <w:b/>
        </w:rPr>
        <w:t>Promotion consideration</w:t>
      </w:r>
      <w:r/>
    </w:p>
    <w:p>
      <w:pPr>
        <w:pStyle w:val="Heading2"/>
      </w:pPr>
      <w:r>
        <w:t>10. Contact</w:t>
      </w:r>
    </w:p>
    <w:p>
      <w:r>
        <w:t xml:space="preserve">For questions about the evaluation process, contact </w:t>
      </w:r>
      <w:r>
        <w:rPr>
          <w:b/>
        </w:rPr>
        <w:t>hr-performance@contoso.com</w:t>
      </w:r>
      <w:r>
        <w:t xml:space="preserve"> or ext. </w:t>
      </w:r>
      <w:r>
        <w:rPr>
          <w:b/>
        </w:rPr>
        <w:t>4530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