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&amp; Expense Reimbursement Policy</w:t>
      </w:r>
    </w:p>
    <w:p>
      <w:r/>
      <w:r>
        <w:rPr>
          <w:b/>
        </w:rPr>
        <w:t>Policy ID:</w:t>
      </w:r>
      <w:r>
        <w:t xml:space="preserve"> HR-POL-009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May 15, 2025</w:t>
      </w:r>
    </w:p>
    <w:p>
      <w:r/>
      <w:r>
        <w:rPr>
          <w:b/>
        </w:rPr>
        <w:t>Approved By:</w:t>
      </w:r>
      <w:r>
        <w:t xml:space="preserve"> Marie Dubois, CFO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governs business travel and expense reimbursement for all employees of Contoso Ltd.</w:t>
      </w:r>
    </w:p>
    <w:p>
      <w:pPr>
        <w:pStyle w:val="Heading2"/>
      </w:pPr>
      <w:r>
        <w:t>2. Pre-Approval Requirements</w:t>
      </w:r>
    </w:p>
    <w:p>
      <w:pPr>
        <w:pStyle w:val="ListBullet"/>
      </w:pPr>
      <w:r>
        <w:t xml:space="preserve">All business travel must be </w:t>
      </w:r>
      <w:r>
        <w:rPr>
          <w:b/>
        </w:rPr>
        <w:t>pre-approved</w:t>
      </w:r>
      <w:r>
        <w:t xml:space="preserve"> by the employee's direct manager via the </w:t>
      </w:r>
      <w:r>
        <w:rPr>
          <w:b/>
        </w:rPr>
        <w:t>Expense Management System (EMS)</w:t>
      </w:r>
      <w:r>
        <w:t xml:space="preserve"> before booking.</w:t>
      </w:r>
    </w:p>
    <w:p>
      <w:pPr>
        <w:pStyle w:val="ListBullet"/>
      </w:pPr>
      <w:r>
        <w:t xml:space="preserve">International travel requires additional approval from the </w:t>
      </w:r>
      <w:r>
        <w:rPr>
          <w:b/>
        </w:rPr>
        <w:t>department VP</w:t>
      </w:r>
      <w:r>
        <w:t>.</w:t>
      </w:r>
    </w:p>
    <w:p>
      <w:pPr>
        <w:pStyle w:val="ListBullet"/>
      </w:pPr>
      <w:r>
        <w:t xml:space="preserve">Travel that exceeds </w:t>
      </w:r>
      <w:r>
        <w:rPr>
          <w:b/>
        </w:rPr>
        <w:t>$5,000 total estimated cost</w:t>
      </w:r>
      <w:r>
        <w:t xml:space="preserve"> requires CFO approval.</w:t>
      </w:r>
    </w:p>
    <w:p>
      <w:pPr>
        <w:pStyle w:val="Heading2"/>
      </w:pPr>
      <w:r>
        <w:t>3. Booking Guidelines</w:t>
      </w:r>
    </w:p>
    <w:p>
      <w:pPr>
        <w:pStyle w:val="ListBullet"/>
      </w:pPr>
      <w:r>
        <w:t xml:space="preserve">All flights and hotels must be booked through the company's </w:t>
      </w:r>
      <w:r>
        <w:rPr>
          <w:b/>
        </w:rPr>
        <w:t>preferred travel agency</w:t>
      </w:r>
      <w:r>
        <w:t xml:space="preserve"> (Contoso Travel Portal) or the designated corporate booking tool.</w:t>
      </w:r>
    </w:p>
    <w:p>
      <w:pPr>
        <w:pStyle w:val="ListBullet"/>
      </w:pPr>
      <w:r>
        <w:t xml:space="preserve">Flights: Economy class is standard. Business class is permitted for flights exceeding </w:t>
      </w:r>
      <w:r>
        <w:rPr>
          <w:b/>
        </w:rPr>
        <w:t>6 hours</w:t>
      </w:r>
      <w:r>
        <w:t xml:space="preserve"> with VP approval.</w:t>
      </w:r>
    </w:p>
    <w:p>
      <w:pPr>
        <w:pStyle w:val="ListBullet"/>
      </w:pPr>
      <w:r>
        <w:t xml:space="preserve">Hotels: Nightly rate must not exceed </w:t>
      </w:r>
      <w:r>
        <w:rPr>
          <w:b/>
        </w:rPr>
        <w:t>$250 CAD</w:t>
      </w:r>
      <w:r>
        <w:t xml:space="preserve"> in domestic cities and </w:t>
      </w:r>
      <w:r>
        <w:rPr>
          <w:b/>
        </w:rPr>
        <w:t>$350 CAD</w:t>
      </w:r>
      <w:r>
        <w:t xml:space="preserve"> in international destinations. Exceptions require manager approval.</w:t>
      </w:r>
    </w:p>
    <w:p>
      <w:pPr>
        <w:pStyle w:val="ListBullet"/>
      </w:pPr>
      <w:r>
        <w:t>Rental cars: Intermediate-size or smaller. Employees must accept the rental company's insurance.</w:t>
      </w:r>
    </w:p>
    <w:p>
      <w:pPr>
        <w:pStyle w:val="Heading2"/>
      </w:pPr>
      <w:r>
        <w:t>4. Per Diem &amp; Meals</w:t>
      </w:r>
    </w:p>
    <w:p>
      <w:r>
        <w:t>Daily meal allowances (per diem) for business travel: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Domestic (CAD)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International (CAD)</w:t>
            </w:r>
          </w:p>
        </w:tc>
      </w:tr>
      <w:tr>
        <w:tc>
          <w:tcPr>
            <w:tcW w:type="dxa" w:w="2880"/>
          </w:tcPr>
          <w:p>
            <w:r>
              <w:t>Breakfast</w:t>
            </w:r>
          </w:p>
        </w:tc>
        <w:tc>
          <w:tcPr>
            <w:tcW w:type="dxa" w:w="2880"/>
          </w:tcPr>
          <w:p>
            <w:r>
              <w:t>$20</w:t>
            </w:r>
          </w:p>
        </w:tc>
        <w:tc>
          <w:tcPr>
            <w:tcW w:type="dxa" w:w="2880"/>
          </w:tcPr>
          <w:p>
            <w:r>
              <w:t>$30</w:t>
            </w:r>
          </w:p>
        </w:tc>
      </w:tr>
      <w:tr>
        <w:tc>
          <w:tcPr>
            <w:tcW w:type="dxa" w:w="2880"/>
          </w:tcPr>
          <w:p>
            <w:r>
              <w:t>Lunch</w:t>
            </w:r>
          </w:p>
        </w:tc>
        <w:tc>
          <w:tcPr>
            <w:tcW w:type="dxa" w:w="2880"/>
          </w:tcPr>
          <w:p>
            <w:r>
              <w:t>$25</w:t>
            </w:r>
          </w:p>
        </w:tc>
        <w:tc>
          <w:tcPr>
            <w:tcW w:type="dxa" w:w="2880"/>
          </w:tcPr>
          <w:p>
            <w:r>
              <w:t>$40</w:t>
            </w:r>
          </w:p>
        </w:tc>
      </w:tr>
      <w:tr>
        <w:tc>
          <w:tcPr>
            <w:tcW w:type="dxa" w:w="2880"/>
          </w:tcPr>
          <w:p>
            <w:r>
              <w:t>Dinner</w:t>
            </w:r>
          </w:p>
        </w:tc>
        <w:tc>
          <w:tcPr>
            <w:tcW w:type="dxa" w:w="2880"/>
          </w:tcPr>
          <w:p>
            <w:r>
              <w:t>$45</w:t>
            </w:r>
          </w:p>
        </w:tc>
        <w:tc>
          <w:tcPr>
            <w:tcW w:type="dxa" w:w="2880"/>
          </w:tcPr>
          <w:p>
            <w:r>
              <w:t>$65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$90</w:t>
            </w:r>
          </w:p>
        </w:tc>
        <w:tc>
          <w:tcPr>
            <w:tcW w:type="dxa" w:w="2880"/>
          </w:tcPr>
          <w:p>
            <w:r>
              <w:t>$135</w:t>
            </w:r>
          </w:p>
        </w:tc>
      </w:tr>
    </w:tbl>
    <w:p/>
    <w:p>
      <w:pPr>
        <w:pStyle w:val="ListBullet"/>
      </w:pPr>
      <w:r>
        <w:t xml:space="preserve">Alcoholic beverages are </w:t>
      </w:r>
      <w:r>
        <w:rPr>
          <w:b/>
        </w:rPr>
        <w:t>not reimbursable</w:t>
      </w:r>
      <w:r>
        <w:t>.</w:t>
      </w:r>
    </w:p>
    <w:p>
      <w:pPr>
        <w:pStyle w:val="ListBullet"/>
      </w:pPr>
      <w:r>
        <w:t>Client entertainment meals may exceed per diem limits with VP pre-approval and must include the names and titles of all attendees.</w:t>
      </w:r>
    </w:p>
    <w:p>
      <w:pPr>
        <w:pStyle w:val="Heading2"/>
      </w:pPr>
      <w:r>
        <w:t>5. Mileage Reimbursement</w:t>
      </w:r>
    </w:p>
    <w:p>
      <w:r>
        <w:t xml:space="preserve">Employees using their personal vehicle for business purposes will be reimbursed at the </w:t>
      </w:r>
      <w:r>
        <w:rPr>
          <w:b/>
        </w:rPr>
        <w:t>CRA-prescribed rate</w:t>
      </w:r>
      <w:r>
        <w:t xml:space="preserve"> (currently </w:t>
      </w:r>
      <w:r>
        <w:rPr>
          <w:b/>
        </w:rPr>
        <w:t>$0.70/km</w:t>
      </w:r>
      <w:r>
        <w:t xml:space="preserve"> for the first 5,000 km and </w:t>
      </w:r>
      <w:r>
        <w:rPr>
          <w:b/>
        </w:rPr>
        <w:t>$0.64/km</w:t>
      </w:r>
      <w:r>
        <w:t xml:space="preserve"> thereafter).</w:t>
      </w:r>
    </w:p>
    <w:p>
      <w:pPr>
        <w:pStyle w:val="Heading2"/>
      </w:pPr>
      <w:r>
        <w:t>6. Expense Submission</w:t>
      </w:r>
    </w:p>
    <w:p>
      <w:pPr>
        <w:pStyle w:val="ListBullet"/>
      </w:pPr>
      <w:r>
        <w:t xml:space="preserve">All expense reports must be submitted within </w:t>
      </w:r>
      <w:r>
        <w:rPr>
          <w:b/>
        </w:rPr>
        <w:t>15 business days</w:t>
      </w:r>
      <w:r>
        <w:t xml:space="preserve"> of the trip's completion.</w:t>
      </w:r>
    </w:p>
    <w:p>
      <w:pPr>
        <w:pStyle w:val="ListBullet"/>
      </w:pPr>
      <w:r>
        <w:t xml:space="preserve">Original receipts (or clear digital scans) are required for any expense exceeding </w:t>
      </w:r>
      <w:r>
        <w:rPr>
          <w:b/>
        </w:rPr>
        <w:t>$25</w:t>
      </w:r>
      <w:r>
        <w:t>.</w:t>
      </w:r>
    </w:p>
    <w:p>
      <w:pPr>
        <w:pStyle w:val="ListBullet"/>
      </w:pPr>
      <w:r>
        <w:t>Expense reports submitted more than 30 days late may be denied.</w:t>
      </w:r>
    </w:p>
    <w:p>
      <w:pPr>
        <w:pStyle w:val="ListBullet"/>
      </w:pPr>
      <w:r>
        <w:t xml:space="preserve">Reimbursements are processed within </w:t>
      </w:r>
      <w:r>
        <w:rPr>
          <w:b/>
        </w:rPr>
        <w:t>10 business days</w:t>
      </w:r>
      <w:r>
        <w:t xml:space="preserve"> of approval.</w:t>
      </w:r>
    </w:p>
    <w:p>
      <w:pPr>
        <w:pStyle w:val="Heading2"/>
      </w:pPr>
      <w:r>
        <w:t>7. Non-Reimbursable Expenses</w:t>
      </w:r>
    </w:p>
    <w:p>
      <w:r>
        <w:t xml:space="preserve">The following are </w:t>
      </w:r>
      <w:r>
        <w:rPr>
          <w:b/>
        </w:rPr>
        <w:t>not reimbursable</w:t>
      </w:r>
      <w:r>
        <w:t>:</w:t>
      </w:r>
    </w:p>
    <w:p>
      <w:pPr>
        <w:pStyle w:val="ListBullet"/>
      </w:pPr>
      <w:r>
        <w:t>Personal entertainment (movies, minibar, spa)</w:t>
      </w:r>
    </w:p>
    <w:p>
      <w:pPr>
        <w:pStyle w:val="ListBullet"/>
      </w:pPr>
      <w:r>
        <w:t>Traffic or parking violations</w:t>
      </w:r>
    </w:p>
    <w:p>
      <w:pPr>
        <w:pStyle w:val="ListBullet"/>
      </w:pPr>
      <w:r>
        <w:t>Travel insurance (covered by corporate policy)</w:t>
      </w:r>
    </w:p>
    <w:p>
      <w:pPr>
        <w:pStyle w:val="ListBullet"/>
      </w:pPr>
      <w:r>
        <w:t>Upgrades not approved in advance</w:t>
      </w:r>
    </w:p>
    <w:p>
      <w:pPr>
        <w:pStyle w:val="ListBullet"/>
      </w:pPr>
      <w:r>
        <w:t>Expenses for companions or family members</w:t>
      </w:r>
    </w:p>
    <w:p>
      <w:pPr>
        <w:pStyle w:val="Heading2"/>
      </w:pPr>
      <w:r>
        <w:t>8. Consequences of Policy Violations</w:t>
      </w:r>
    </w:p>
    <w:p>
      <w:pPr>
        <w:pStyle w:val="ListBullet"/>
      </w:pPr>
      <w:r>
        <w:t>First violation: Written warning and mandatory policy review.</w:t>
      </w:r>
    </w:p>
    <w:p>
      <w:pPr>
        <w:pStyle w:val="ListBullet"/>
      </w:pPr>
      <w:r>
        <w:t>Second violation: Reimbursement privileges suspended for 90 days; all expenses require pre-approval.</w:t>
      </w:r>
    </w:p>
    <w:p>
      <w:pPr>
        <w:pStyle w:val="ListBullet"/>
      </w:pPr>
      <w:r>
        <w:t>Third violation: Disciplinary action up to and including termination.</w:t>
      </w:r>
    </w:p>
    <w:p>
      <w:pPr>
        <w:pStyle w:val="Heading2"/>
      </w:pPr>
      <w:r>
        <w:t>9. Contact</w:t>
      </w:r>
    </w:p>
    <w:p>
      <w:r>
        <w:t xml:space="preserve">For travel and expense questions, contact the </w:t>
      </w:r>
      <w:r>
        <w:rPr>
          <w:b/>
        </w:rPr>
        <w:t>Finance Travel Team</w:t>
      </w:r>
      <w:r>
        <w:t xml:space="preserve"> at </w:t>
      </w:r>
      <w:r>
        <w:rPr>
          <w:b/>
        </w:rPr>
        <w:t>travel@contoso.com</w:t>
      </w:r>
      <w:r>
        <w:t xml:space="preserve"> or ext. </w:t>
      </w:r>
      <w:r>
        <w:rPr>
          <w:b/>
        </w:rPr>
        <w:t>4600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