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Classification &amp; Handling Policy</w:t>
      </w:r>
    </w:p>
    <w:p>
      <w:r/>
      <w:r>
        <w:rPr>
          <w:b/>
        </w:rPr>
        <w:t>Policy ID:</w:t>
      </w:r>
      <w:r>
        <w:t xml:space="preserve"> IT-POL-006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November 5,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establishes the data classification framework and handling requirements for all information created, processed, stored, or transmitted by Contoso Ltd.</w:t>
      </w:r>
    </w:p>
    <w:p>
      <w:pPr>
        <w:pStyle w:val="Heading2"/>
      </w:pPr>
      <w:r>
        <w:t>2. Scope</w:t>
      </w:r>
    </w:p>
    <w:p>
      <w:r>
        <w:t>This policy applies to all data in any format (electronic, paper, verbal) across all Contoso systems, cloud services, and physical locations.</w:t>
      </w:r>
    </w:p>
    <w:p>
      <w:pPr>
        <w:pStyle w:val="Heading2"/>
      </w:pPr>
      <w:r>
        <w:t>3. Classification Levels</w:t>
      </w:r>
    </w:p>
    <w:p>
      <w:r>
        <w:t>All Contoso data must be classified into one of four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 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Information approved for public disclosure (e.g., marketing materials, press releases).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Yellow</w:t>
            </w:r>
          </w:p>
        </w:tc>
        <w:tc>
          <w:tcPr>
            <w:tcW w:type="dxa" w:w="2880"/>
          </w:tcPr>
          <w:p>
            <w:r>
              <w:t>General business information not intended for public release (e.g., org charts, internal newsletters).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Sensitive business data that could cause harm if disclosed (e.g., financials, strategy docs, customer lists).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Highly sensitive data with legal or regulatory implications (e.g., PII, PHI, trade secrets, credentials).</w:t>
            </w:r>
          </w:p>
        </w:tc>
      </w:tr>
    </w:tbl>
    <w:p/>
    <w:p>
      <w:pPr>
        <w:pStyle w:val="Heading2"/>
      </w:pPr>
      <w:r>
        <w:t>4. Classification Responsibilities</w:t>
      </w:r>
    </w:p>
    <w:p>
      <w:pPr>
        <w:pStyle w:val="ListBullet"/>
      </w:pPr>
      <w:r/>
      <w:r>
        <w:rPr>
          <w:b/>
        </w:rPr>
        <w:t>Data Owners</w:t>
      </w:r>
      <w:r>
        <w:t xml:space="preserve"> (typically department heads) are responsible for classifying data under their control.</w:t>
      </w:r>
    </w:p>
    <w:p>
      <w:pPr>
        <w:pStyle w:val="ListBullet"/>
      </w:pPr>
      <w:r/>
      <w:r>
        <w:rPr>
          <w:b/>
        </w:rPr>
        <w:t>Data Custodians</w:t>
      </w:r>
      <w:r>
        <w:t xml:space="preserve"> (IT operations) are responsible for implementing technical controls appropriate to the classification level.</w:t>
      </w:r>
    </w:p>
    <w:p>
      <w:pPr>
        <w:pStyle w:val="ListBullet"/>
      </w:pPr>
      <w:r/>
      <w:r>
        <w:rPr>
          <w:b/>
        </w:rPr>
        <w:t>All Employees</w:t>
      </w:r>
      <w:r>
        <w:t xml:space="preserve"> are responsible for handling data according to its classification label.</w:t>
      </w:r>
    </w:p>
    <w:p>
      <w:pPr>
        <w:pStyle w:val="Heading2"/>
      </w:pPr>
      <w:r>
        <w:t>5. Handling Requirements</w:t>
      </w:r>
    </w:p>
    <w:p>
      <w:pPr>
        <w:pStyle w:val="Heading3"/>
      </w:pPr>
      <w:r>
        <w:t>5.1 Storage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Storage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Any Contoso-approved platform</w:t>
            </w:r>
          </w:p>
        </w:tc>
      </w:tr>
      <w:tr>
        <w:tc>
          <w:tcPr>
            <w:tcW w:type="dxa" w:w="4320"/>
          </w:tcPr>
          <w:p>
            <w:r>
              <w:t>Internal</w:t>
            </w:r>
          </w:p>
        </w:tc>
        <w:tc>
          <w:tcPr>
            <w:tcW w:type="dxa" w:w="4320"/>
          </w:tcPr>
          <w:p>
            <w:r>
              <w:t>SharePoint, OneDrive for Business, company file servers</w:t>
            </w:r>
          </w:p>
        </w:tc>
      </w:tr>
      <w:tr>
        <w:tc>
          <w:tcPr>
            <w:tcW w:type="dxa" w:w="4320"/>
          </w:tcPr>
          <w:p>
            <w:r>
              <w:t>Confidential</w:t>
            </w:r>
          </w:p>
        </w:tc>
        <w:tc>
          <w:tcPr>
            <w:tcW w:type="dxa" w:w="4320"/>
          </w:tcPr>
          <w:p>
            <w:r>
              <w:t>SharePoint (with restricted permissions), encrypted file shares</w:t>
            </w:r>
          </w:p>
        </w:tc>
      </w:tr>
      <w:tr>
        <w:tc>
          <w:tcPr>
            <w:tcW w:type="dxa" w:w="4320"/>
          </w:tcPr>
          <w:p>
            <w:r>
              <w:t>Restricted</w:t>
            </w:r>
          </w:p>
        </w:tc>
        <w:tc>
          <w:tcPr>
            <w:tcW w:type="dxa" w:w="4320"/>
          </w:tcPr>
          <w:p>
            <w:r>
              <w:t>Azure Information Protection–encrypted locations, CyberArk vault (for credentials)</w:t>
            </w:r>
          </w:p>
        </w:tc>
      </w:tr>
    </w:tbl>
    <w:p/>
    <w:p>
      <w:pPr>
        <w:pStyle w:val="ListBullet"/>
      </w:pPr>
      <w:r/>
      <w:r>
        <w:rPr>
          <w:b/>
        </w:rPr>
        <w:t>Restricted</w:t>
      </w:r>
      <w:r>
        <w:t xml:space="preserve"> data must </w:t>
      </w:r>
      <w:r>
        <w:rPr>
          <w:b/>
        </w:rPr>
        <w:t>never</w:t>
      </w:r>
      <w:r>
        <w:t xml:space="preserve"> be stored on personal devices, USB drives, or unapproved cloud services.</w:t>
      </w:r>
    </w:p>
    <w:p>
      <w:pPr>
        <w:pStyle w:val="Heading3"/>
      </w:pPr>
      <w:r>
        <w:t>5.2 Transmission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Sharing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 restrictions</w:t>
            </w:r>
          </w:p>
        </w:tc>
        <w:tc>
          <w:tcPr>
            <w:tcW w:type="dxa" w:w="2880"/>
          </w:tcPr>
          <w:p>
            <w:r>
              <w:t>No restrictions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Standard corporate email</w:t>
            </w:r>
          </w:p>
        </w:tc>
        <w:tc>
          <w:tcPr>
            <w:tcW w:type="dxa" w:w="2880"/>
          </w:tcPr>
          <w:p>
            <w:r>
              <w:t>SharePoint / OneDrive links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Encrypted email (auto-applied)</w:t>
            </w:r>
          </w:p>
        </w:tc>
        <w:tc>
          <w:tcPr>
            <w:tcW w:type="dxa" w:w="2880"/>
          </w:tcPr>
          <w:p>
            <w:r>
              <w:t>SharePoint with restricted sharing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Azure Information Protection (Do Not Forward)</w:t>
            </w:r>
          </w:p>
        </w:tc>
        <w:tc>
          <w:tcPr>
            <w:tcW w:type="dxa" w:w="2880"/>
          </w:tcPr>
          <w:p>
            <w:r>
              <w:t>Approved secure transfer only</w:t>
            </w:r>
          </w:p>
        </w:tc>
      </w:tr>
    </w:tbl>
    <w:p/>
    <w:p>
      <w:pPr>
        <w:pStyle w:val="Heading3"/>
      </w:pPr>
      <w:r>
        <w:t>5.3 Printing</w:t>
      </w:r>
    </w:p>
    <w:p>
      <w:pPr>
        <w:pStyle w:val="ListBullet"/>
      </w:pPr>
      <w:r/>
      <w:r>
        <w:rPr>
          <w:b/>
        </w:rPr>
        <w:t>Confidential</w:t>
      </w:r>
      <w:r>
        <w:t xml:space="preserve"> and </w:t>
      </w:r>
      <w:r>
        <w:rPr>
          <w:b/>
        </w:rPr>
        <w:t>Restricted</w:t>
      </w:r>
      <w:r>
        <w:t xml:space="preserve"> documents must be printed only on secure print-release printers.</w:t>
      </w:r>
    </w:p>
    <w:p>
      <w:pPr>
        <w:pStyle w:val="ListBullet"/>
      </w:pPr>
      <w:r>
        <w:t xml:space="preserve">Printed </w:t>
      </w:r>
      <w:r>
        <w:rPr>
          <w:b/>
        </w:rPr>
        <w:t>Restricted</w:t>
      </w:r>
      <w:r>
        <w:t xml:space="preserve"> documents must be retrieved immediately and stored in locked cabinets.</w:t>
      </w:r>
    </w:p>
    <w:p>
      <w:pPr>
        <w:pStyle w:val="ListBullet"/>
      </w:pPr>
      <w:r>
        <w:t xml:space="preserve">Shredding is required for disposal of all printed </w:t>
      </w:r>
      <w:r>
        <w:rPr>
          <w:b/>
        </w:rPr>
        <w:t>Confidential</w:t>
      </w:r>
      <w:r>
        <w:t xml:space="preserve"> and </w:t>
      </w:r>
      <w:r>
        <w:rPr>
          <w:b/>
        </w:rPr>
        <w:t>Restricted</w:t>
      </w:r>
      <w:r>
        <w:t xml:space="preserve"> materials.</w:t>
      </w:r>
    </w:p>
    <w:p>
      <w:pPr>
        <w:pStyle w:val="Heading2"/>
      </w:pPr>
      <w:r>
        <w:t>6. Labeling</w:t>
      </w:r>
    </w:p>
    <w:p>
      <w:pPr>
        <w:pStyle w:val="ListBullet"/>
      </w:pPr>
      <w:r>
        <w:t xml:space="preserve">All electronic documents must carry a classification label applied via </w:t>
      </w:r>
      <w:r>
        <w:rPr>
          <w:b/>
        </w:rPr>
        <w:t>Microsoft Purview Information Protection</w:t>
      </w:r>
      <w:r>
        <w:t>.</w:t>
      </w:r>
    </w:p>
    <w:p>
      <w:pPr>
        <w:pStyle w:val="ListBullet"/>
      </w:pPr>
      <w:r>
        <w:t>Labels are applied automatically for known data patterns (e.g., credit card numbers, SINs) and manually by users for other content.</w:t>
      </w:r>
    </w:p>
    <w:p>
      <w:pPr>
        <w:pStyle w:val="ListBullet"/>
      </w:pPr>
      <w:r>
        <w:t xml:space="preserve">Emails containing </w:t>
      </w:r>
      <w:r>
        <w:rPr>
          <w:b/>
        </w:rPr>
        <w:t>Confidential</w:t>
      </w:r>
      <w:r>
        <w:t xml:space="preserve"> or </w:t>
      </w:r>
      <w:r>
        <w:rPr>
          <w:b/>
        </w:rPr>
        <w:t>Restricted</w:t>
      </w:r>
      <w:r>
        <w:t xml:space="preserve"> content are automatically labeled and encrypted.</w:t>
      </w:r>
    </w:p>
    <w:p>
      <w:pPr>
        <w:pStyle w:val="Heading2"/>
      </w:pPr>
      <w:r>
        <w:t>7. Data Retention &amp; Disposal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Disposal Method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 minimum</w:t>
            </w:r>
          </w:p>
        </w:tc>
        <w:tc>
          <w:tcPr>
            <w:tcW w:type="dxa" w:w="2880"/>
          </w:tcPr>
          <w:p>
            <w:r>
              <w:t>Standard deletion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Standard deletion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Secure deletion (crypto-shredding for cloud)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Certified secure destruction, audit trail</w:t>
            </w:r>
          </w:p>
        </w:tc>
      </w:tr>
    </w:tbl>
    <w:p/>
    <w:p>
      <w:pPr>
        <w:pStyle w:val="Heading2"/>
      </w:pPr>
      <w:r>
        <w:t>8. Incident Reporting</w:t>
      </w:r>
    </w:p>
    <w:p>
      <w:r>
        <w:t xml:space="preserve">Any suspected data mishandling (e.g., sending Restricted data to the wrong recipient, finding Confidential data in a public location) must be reported to </w:t>
      </w:r>
      <w:r>
        <w:rPr>
          <w:b/>
        </w:rPr>
        <w:t>security@contoso.com</w:t>
      </w:r>
      <w:r>
        <w:t xml:space="preserve"> within </w:t>
      </w:r>
      <w:r>
        <w:rPr>
          <w:b/>
        </w:rPr>
        <w:t>4 hours</w:t>
      </w:r>
      <w:r>
        <w:t xml:space="preserve"> of discovery.</w:t>
      </w:r>
    </w:p>
    <w:p>
      <w:pPr>
        <w:pStyle w:val="Heading2"/>
      </w:pPr>
      <w:r>
        <w:t>9. Training</w:t>
      </w:r>
    </w:p>
    <w:p>
      <w:r>
        <w:t xml:space="preserve">All employees must complete </w:t>
      </w:r>
      <w:r>
        <w:rPr>
          <w:b/>
        </w:rPr>
        <w:t>Data Classification &amp; Handling</w:t>
      </w:r>
      <w:r>
        <w:t xml:space="preserve"> training within 30 days of hire and annually thereafter. Training is tracked in the Learning Management System.</w:t>
      </w:r>
    </w:p>
    <w:p>
      <w:pPr>
        <w:pStyle w:val="Heading2"/>
      </w:pPr>
      <w:r>
        <w:t>10. Contact</w:t>
      </w:r>
    </w:p>
    <w:p>
      <w:r>
        <w:t xml:space="preserve">For data classification questions, contact the </w:t>
      </w:r>
      <w:r>
        <w:rPr>
          <w:b/>
        </w:rPr>
        <w:t>IT Security Team</w:t>
      </w:r>
      <w:r>
        <w:t xml:space="preserve"> at </w:t>
      </w:r>
      <w:r>
        <w:rPr>
          <w:b/>
        </w:rPr>
        <w:t>security@contoso.com</w:t>
      </w:r>
      <w:r>
        <w:t xml:space="preserve"> or ext. </w:t>
      </w:r>
      <w:r>
        <w:rPr>
          <w:b/>
        </w:rPr>
        <w:t>5010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