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Email &amp; Communication Security Policy</w:t>
      </w:r>
    </w:p>
    <w:p>
      <w:r/>
      <w:r>
        <w:rPr>
          <w:b/>
        </w:rPr>
        <w:t>Policy ID:</w:t>
      </w:r>
      <w:r>
        <w:t xml:space="preserve"> IT-POL-009</w:t>
      </w:r>
    </w:p>
    <w:p>
      <w:r/>
      <w:r>
        <w:rPr>
          <w:b/>
        </w:rPr>
        <w:t>Effective Date:</w:t>
      </w:r>
      <w:r>
        <w:t xml:space="preserve"> January 1, 2025</w:t>
      </w:r>
    </w:p>
    <w:p>
      <w:r/>
      <w:r>
        <w:rPr>
          <w:b/>
        </w:rPr>
        <w:t>Last Revised:</w:t>
      </w:r>
      <w:r>
        <w:t xml:space="preserve"> August 30, 2025</w:t>
      </w:r>
    </w:p>
    <w:p>
      <w:r/>
      <w:r>
        <w:rPr>
          <w:b/>
        </w:rPr>
        <w:t>Approved By:</w:t>
      </w:r>
      <w:r>
        <w:t xml:space="preserve"> James Park, Chief Information Security Officer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Purpose</w:t>
      </w:r>
    </w:p>
    <w:p>
      <w:r>
        <w:t>This policy defines the security requirements and acceptable practices for email and corporate communication tools at Contoso Ltd.</w:t>
      </w:r>
    </w:p>
    <w:p>
      <w:pPr>
        <w:pStyle w:val="Heading2"/>
      </w:pPr>
      <w:r>
        <w:t>2. Scope</w:t>
      </w:r>
    </w:p>
    <w:p>
      <w:r>
        <w:t>This policy applies to all corporate communication channels, including:</w:t>
      </w:r>
    </w:p>
    <w:p>
      <w:pPr>
        <w:pStyle w:val="ListBullet"/>
      </w:pPr>
      <w:r>
        <w:t>Microsoft Outlook / Exchange Online email</w:t>
      </w:r>
    </w:p>
    <w:p>
      <w:pPr>
        <w:pStyle w:val="ListBullet"/>
      </w:pPr>
      <w:r>
        <w:t>Microsoft Teams (chat, channels, and meetings)</w:t>
      </w:r>
    </w:p>
    <w:p>
      <w:pPr>
        <w:pStyle w:val="ListBullet"/>
      </w:pPr>
      <w:r>
        <w:t>SharePoint and OneDrive file sharing</w:t>
      </w:r>
    </w:p>
    <w:p>
      <w:pPr>
        <w:pStyle w:val="ListBullet"/>
      </w:pPr>
      <w:r>
        <w:t>Any third-party communication tools approved for business use</w:t>
      </w:r>
    </w:p>
    <w:p>
      <w:pPr>
        <w:pStyle w:val="Heading2"/>
      </w:pPr>
      <w:r>
        <w:t>3. Email Security Controls</w:t>
      </w:r>
    </w:p>
    <w:p>
      <w:pPr>
        <w:pStyle w:val="Heading3"/>
      </w:pPr>
      <w:r>
        <w:t>3.1 Anti-Phishing Protection</w:t>
      </w:r>
    </w:p>
    <w:p>
      <w:r>
        <w:t>Contoso employs the following anti-phishing measures: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</w:tcPr>
          <w:p>
            <w:r>
              <w:t>Microsoft Defender for Office 365</w:t>
            </w:r>
          </w:p>
        </w:tc>
        <w:tc>
          <w:tcPr>
            <w:tcW w:type="dxa" w:w="4320"/>
          </w:tcPr>
          <w:p>
            <w:r>
              <w:t>Advanced threat protection, safe links, safe attachments</w:t>
            </w:r>
          </w:p>
        </w:tc>
      </w:tr>
      <w:tr>
        <w:tc>
          <w:tcPr>
            <w:tcW w:type="dxa" w:w="4320"/>
          </w:tcPr>
          <w:p>
            <w:r>
              <w:t>DMARC / DKIM / SPF</w:t>
            </w:r>
          </w:p>
        </w:tc>
        <w:tc>
          <w:tcPr>
            <w:tcW w:type="dxa" w:w="4320"/>
          </w:tcPr>
          <w:p>
            <w:r>
              <w:t>Email authentication to prevent spoofing</w:t>
            </w:r>
          </w:p>
        </w:tc>
      </w:tr>
      <w:tr>
        <w:tc>
          <w:tcPr>
            <w:tcW w:type="dxa" w:w="4320"/>
          </w:tcPr>
          <w:p>
            <w:r>
              <w:t>External Email Banner</w:t>
            </w:r>
          </w:p>
        </w:tc>
        <w:tc>
          <w:tcPr>
            <w:tcW w:type="dxa" w:w="4320"/>
          </w:tcPr>
          <w:p>
            <w:r>
              <w:t>All emails from outside Contoso display a yellow warning banner</w:t>
            </w:r>
          </w:p>
        </w:tc>
      </w:tr>
      <w:tr>
        <w:tc>
          <w:tcPr>
            <w:tcW w:type="dxa" w:w="4320"/>
          </w:tcPr>
          <w:p>
            <w:r>
              <w:t>AI-Powered Detection</w:t>
            </w:r>
          </w:p>
        </w:tc>
        <w:tc>
          <w:tcPr>
            <w:tcW w:type="dxa" w:w="4320"/>
          </w:tcPr>
          <w:p>
            <w:r>
              <w:t>Machine learning models flag suspicious patterns</w:t>
            </w:r>
          </w:p>
        </w:tc>
      </w:tr>
      <w:tr>
        <w:tc>
          <w:tcPr>
            <w:tcW w:type="dxa" w:w="4320"/>
          </w:tcPr>
          <w:p>
            <w:r>
              <w:t>Impersonation Protection</w:t>
            </w:r>
          </w:p>
        </w:tc>
        <w:tc>
          <w:tcPr>
            <w:tcW w:type="dxa" w:w="4320"/>
          </w:tcPr>
          <w:p>
            <w:r>
              <w:t>Alerts on emails impersonating executives or partners</w:t>
            </w:r>
          </w:p>
        </w:tc>
      </w:tr>
    </w:tbl>
    <w:p/>
    <w:p>
      <w:pPr>
        <w:pStyle w:val="Heading3"/>
      </w:pPr>
      <w:r>
        <w:t>3.2 Reporting Suspicious Emails</w:t>
      </w:r>
    </w:p>
    <w:p>
      <w:r>
        <w:t xml:space="preserve">Employees must report suspicious emails using the </w:t>
      </w:r>
      <w:r>
        <w:rPr>
          <w:b/>
        </w:rPr>
        <w:t>"Report Phishing"</w:t>
      </w:r>
      <w:r>
        <w:t xml:space="preserve"> button in Outlook. This sends the email to the Security Operations Center for analysis. </w:t>
      </w:r>
      <w:r>
        <w:rPr>
          <w:b/>
        </w:rPr>
        <w:t>Do not</w:t>
      </w:r>
      <w:r>
        <w:t xml:space="preserve"> forward suspicious emails to colleagues.</w:t>
      </w:r>
    </w:p>
    <w:p>
      <w:r>
        <w:t>Response times: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4320"/>
          </w:tcPr>
          <w:p>
            <w:r>
              <w:t>Confirmed phishing</w:t>
            </w:r>
          </w:p>
        </w:tc>
        <w:tc>
          <w:tcPr>
            <w:tcW w:type="dxa" w:w="4320"/>
          </w:tcPr>
          <w:p>
            <w:r>
              <w:t>Email removed from all mailboxes within 30 minutes</w:t>
            </w:r>
          </w:p>
        </w:tc>
      </w:tr>
      <w:tr>
        <w:tc>
          <w:tcPr>
            <w:tcW w:type="dxa" w:w="4320"/>
          </w:tcPr>
          <w:p>
            <w:r>
              <w:t>Suspicious</w:t>
            </w:r>
          </w:p>
        </w:tc>
        <w:tc>
          <w:tcPr>
            <w:tcW w:type="dxa" w:w="4320"/>
          </w:tcPr>
          <w:p>
            <w:r>
              <w:t>Analysis completed within 4 hours</w:t>
            </w:r>
          </w:p>
        </w:tc>
      </w:tr>
    </w:tbl>
    <w:p/>
    <w:p>
      <w:pPr>
        <w:pStyle w:val="Heading2"/>
      </w:pPr>
      <w:r>
        <w:t>4. Email Usage Guidelines</w:t>
      </w:r>
    </w:p>
    <w:p>
      <w:pPr>
        <w:pStyle w:val="Heading3"/>
      </w:pPr>
      <w:r>
        <w:t>4.1 Permitted Use</w:t>
      </w:r>
    </w:p>
    <w:p>
      <w:r>
        <w:t>Corporate email may be used for:</w:t>
      </w:r>
    </w:p>
    <w:p>
      <w:pPr>
        <w:pStyle w:val="ListBullet"/>
      </w:pPr>
      <w:r>
        <w:t>Business communications with internal and external parties</w:t>
      </w:r>
    </w:p>
    <w:p>
      <w:pPr>
        <w:pStyle w:val="ListBullet"/>
      </w:pPr>
      <w:r>
        <w:t>Sending and receiving business documents</w:t>
      </w:r>
    </w:p>
    <w:p>
      <w:pPr>
        <w:pStyle w:val="ListBullet"/>
      </w:pPr>
      <w:r>
        <w:t>Limited personal use that does not interfere with work duties</w:t>
      </w:r>
    </w:p>
    <w:p>
      <w:pPr>
        <w:pStyle w:val="Heading3"/>
      </w:pPr>
      <w:r>
        <w:t>4.2 Prohibited Use</w:t>
      </w:r>
    </w:p>
    <w:p>
      <w:r>
        <w:t xml:space="preserve">Corporate email must </w:t>
      </w:r>
      <w:r>
        <w:rPr>
          <w:b/>
        </w:rPr>
        <w:t>not</w:t>
      </w:r>
      <w:r>
        <w:t xml:space="preserve"> be used for:</w:t>
      </w:r>
    </w:p>
    <w:p>
      <w:pPr>
        <w:pStyle w:val="ListBullet"/>
      </w:pPr>
      <w:r>
        <w:t>Sending Restricted data without Azure Information Protection encryption</w:t>
      </w:r>
    </w:p>
    <w:p>
      <w:pPr>
        <w:pStyle w:val="ListBullet"/>
      </w:pPr>
      <w:r>
        <w:t>Mass unsolicited emails (internal or external)</w:t>
      </w:r>
    </w:p>
    <w:p>
      <w:pPr>
        <w:pStyle w:val="ListBullet"/>
      </w:pPr>
      <w:r>
        <w:t>Forwarding corporate emails to personal email accounts</w:t>
      </w:r>
    </w:p>
    <w:p>
      <w:pPr>
        <w:pStyle w:val="ListBullet"/>
      </w:pPr>
      <w:r>
        <w:t>Subscribing to personal mailing lists or newsletters</w:t>
      </w:r>
    </w:p>
    <w:p>
      <w:pPr>
        <w:pStyle w:val="ListBullet"/>
      </w:pPr>
      <w:r>
        <w:t>Chain letters, jokes, or political messaging to distribution lists</w:t>
      </w:r>
    </w:p>
    <w:p>
      <w:pPr>
        <w:pStyle w:val="ListBullet"/>
      </w:pPr>
      <w:r>
        <w:t>Any communication that violates the Code of Conduct (HR-POL-010)</w:t>
      </w:r>
    </w:p>
    <w:p>
      <w:pPr>
        <w:pStyle w:val="Heading2"/>
      </w:pPr>
      <w:r>
        <w:t>5. Email Retention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Retention Period</w:t>
            </w:r>
          </w:p>
        </w:tc>
      </w:tr>
      <w:tr>
        <w:tc>
          <w:tcPr>
            <w:tcW w:type="dxa" w:w="4320"/>
          </w:tcPr>
          <w:p>
            <w:r>
              <w:t>General business email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  <w:tr>
        <w:tc>
          <w:tcPr>
            <w:tcW w:type="dxa" w:w="4320"/>
          </w:tcPr>
          <w:p>
            <w:r>
              <w:t>Legal / compliance holds</w:t>
            </w:r>
          </w:p>
        </w:tc>
        <w:tc>
          <w:tcPr>
            <w:tcW w:type="dxa" w:w="4320"/>
          </w:tcPr>
          <w:p>
            <w:r>
              <w:t>Until released by Legal</w:t>
            </w:r>
          </w:p>
        </w:tc>
      </w:tr>
      <w:tr>
        <w:tc>
          <w:tcPr>
            <w:tcW w:type="dxa" w:w="4320"/>
          </w:tcPr>
          <w:p>
            <w:r>
              <w:t>Financial records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  <w:tr>
        <w:tc>
          <w:tcPr>
            <w:tcW w:type="dxa" w:w="4320"/>
          </w:tcPr>
          <w:p>
            <w:r>
              <w:t>HR / employee matters</w:t>
            </w:r>
          </w:p>
        </w:tc>
        <w:tc>
          <w:tcPr>
            <w:tcW w:type="dxa" w:w="4320"/>
          </w:tcPr>
          <w:p>
            <w:r>
              <w:t>7 years</w:t>
            </w:r>
          </w:p>
        </w:tc>
      </w:tr>
    </w:tbl>
    <w:p/>
    <w:p>
      <w:pPr>
        <w:pStyle w:val="ListBullet"/>
      </w:pPr>
      <w:r>
        <w:t>Employees should not manually delete emails that may be subject to legal holds.</w:t>
      </w:r>
    </w:p>
    <w:p>
      <w:pPr>
        <w:pStyle w:val="ListBullet"/>
      </w:pPr>
      <w:r>
        <w:t xml:space="preserve">Deleted items are recoverable for </w:t>
      </w:r>
      <w:r>
        <w:rPr>
          <w:b/>
        </w:rPr>
        <w:t>30 days</w:t>
      </w:r>
      <w:r>
        <w:t xml:space="preserve"> before permanent deletion.</w:t>
      </w:r>
    </w:p>
    <w:p>
      <w:pPr>
        <w:pStyle w:val="ListBullet"/>
      </w:pPr>
      <w:r>
        <w:t>The IT team manages retention policies centrally via Microsoft Purview.</w:t>
      </w:r>
    </w:p>
    <w:p>
      <w:pPr>
        <w:pStyle w:val="Heading2"/>
      </w:pPr>
      <w:r>
        <w:t>6. Microsoft Teams Security</w:t>
      </w:r>
    </w:p>
    <w:p>
      <w:pPr>
        <w:pStyle w:val="ListBullet"/>
      </w:pPr>
      <w:r>
        <w:t>External guest access is limited to approved domains configured by IT.</w:t>
      </w:r>
    </w:p>
    <w:p>
      <w:pPr>
        <w:pStyle w:val="ListBullet"/>
      </w:pPr>
      <w:r>
        <w:t xml:space="preserve">Teams channels containing </w:t>
      </w:r>
      <w:r>
        <w:rPr>
          <w:b/>
        </w:rPr>
        <w:t>Confidential</w:t>
      </w:r>
      <w:r>
        <w:t xml:space="preserve"> or </w:t>
      </w:r>
      <w:r>
        <w:rPr>
          <w:b/>
        </w:rPr>
        <w:t>Restricted</w:t>
      </w:r>
      <w:r>
        <w:t xml:space="preserve"> data must use </w:t>
      </w:r>
      <w:r>
        <w:rPr>
          <w:b/>
        </w:rPr>
        <w:t>Sensitivity Labels</w:t>
      </w:r>
      <w:r>
        <w:t>.</w:t>
      </w:r>
    </w:p>
    <w:p>
      <w:pPr>
        <w:pStyle w:val="ListBullet"/>
      </w:pPr>
      <w:r>
        <w:t>Screen sharing in external meetings must be limited to specific windows (not full desktop).</w:t>
      </w:r>
    </w:p>
    <w:p>
      <w:pPr>
        <w:pStyle w:val="ListBullet"/>
      </w:pPr>
      <w:r>
        <w:t>Meeting recordings are stored in OneDrive/SharePoint and subject to the same data classification policies.</w:t>
      </w:r>
    </w:p>
    <w:p>
      <w:pPr>
        <w:pStyle w:val="Heading2"/>
      </w:pPr>
      <w:r>
        <w:t>7. Encryption</w:t>
      </w:r>
    </w:p>
    <w:p>
      <w:pPr>
        <w:pStyle w:val="ListBullet"/>
      </w:pPr>
      <w:r>
        <w:t xml:space="preserve">All emails to external recipients are encrypted in transit via </w:t>
      </w:r>
      <w:r>
        <w:rPr>
          <w:b/>
        </w:rPr>
        <w:t>TLS 1.3</w:t>
      </w:r>
      <w:r>
        <w:t xml:space="preserve"> (opportunistic).</w:t>
      </w:r>
    </w:p>
    <w:p>
      <w:pPr>
        <w:pStyle w:val="ListBullet"/>
      </w:pPr>
      <w:r>
        <w:t xml:space="preserve">Emails classified as </w:t>
      </w:r>
      <w:r>
        <w:rPr>
          <w:b/>
        </w:rPr>
        <w:t>Confidential</w:t>
      </w:r>
      <w:r>
        <w:t xml:space="preserve"> are automatically encrypted via Azure Information Protection.</w:t>
      </w:r>
    </w:p>
    <w:p>
      <w:pPr>
        <w:pStyle w:val="ListBullet"/>
      </w:pPr>
      <w:r>
        <w:t xml:space="preserve">Emails classified as </w:t>
      </w:r>
      <w:r>
        <w:rPr>
          <w:b/>
        </w:rPr>
        <w:t>Restricted</w:t>
      </w:r>
      <w:r>
        <w:t xml:space="preserve"> automatically apply the </w:t>
      </w:r>
      <w:r>
        <w:rPr>
          <w:b/>
        </w:rPr>
        <w:t>"Do Not Forward"</w:t>
      </w:r>
      <w:r>
        <w:t xml:space="preserve"> restriction.</w:t>
      </w:r>
    </w:p>
    <w:p>
      <w:pPr>
        <w:pStyle w:val="Heading2"/>
      </w:pPr>
      <w:r>
        <w:t>8. Auto-Forwarding</w:t>
      </w:r>
    </w:p>
    <w:p>
      <w:pPr>
        <w:pStyle w:val="ListBullet"/>
      </w:pPr>
      <w:r>
        <w:t xml:space="preserve">Auto-forwarding corporate email to external addresses is </w:t>
      </w:r>
      <w:r>
        <w:rPr>
          <w:b/>
        </w:rPr>
        <w:t>blocked</w:t>
      </w:r>
      <w:r>
        <w:t xml:space="preserve"> for all users.</w:t>
      </w:r>
    </w:p>
    <w:p>
      <w:pPr>
        <w:pStyle w:val="ListBullet"/>
      </w:pPr>
      <w:r>
        <w:t>Internal auto-forwarding (e.g., to a shared mailbox) requires manager approval and IT configuration.</w:t>
      </w:r>
    </w:p>
    <w:p>
      <w:pPr>
        <w:pStyle w:val="Heading2"/>
      </w:pPr>
      <w:r>
        <w:t>9. Monitoring &amp; Auditing</w:t>
      </w:r>
    </w:p>
    <w:p>
      <w:r>
        <w:t>Contoso reserves the right to monitor corporate email and communications for:</w:t>
      </w:r>
    </w:p>
    <w:p>
      <w:pPr>
        <w:pStyle w:val="ListBullet"/>
      </w:pPr>
      <w:r>
        <w:t>Security threat detection</w:t>
      </w:r>
    </w:p>
    <w:p>
      <w:pPr>
        <w:pStyle w:val="ListBullet"/>
      </w:pPr>
      <w:r>
        <w:t>Policy compliance</w:t>
      </w:r>
    </w:p>
    <w:p>
      <w:pPr>
        <w:pStyle w:val="ListBullet"/>
      </w:pPr>
      <w:r>
        <w:t>Legal and regulatory requirements</w:t>
      </w:r>
    </w:p>
    <w:p>
      <w:r>
        <w:t>Monitoring is conducted in accordance with applicable privacy laws. Employees have no expectation of privacy for communications sent via corporate systems.</w:t>
      </w:r>
    </w:p>
    <w:p>
      <w:pPr>
        <w:pStyle w:val="Heading2"/>
      </w:pPr>
      <w:r>
        <w:t>10. Contact</w:t>
      </w:r>
    </w:p>
    <w:p>
      <w:r>
        <w:t xml:space="preserve">For email security concerns, contact the </w:t>
      </w:r>
      <w:r>
        <w:rPr>
          <w:b/>
        </w:rPr>
        <w:t>IT Security Team</w:t>
      </w:r>
      <w:r>
        <w:t xml:space="preserve"> at </w:t>
      </w:r>
      <w:r>
        <w:rPr>
          <w:b/>
        </w:rPr>
        <w:t>security@contoso.com</w:t>
      </w:r>
      <w:r>
        <w:t xml:space="preserve"> or the </w:t>
      </w:r>
      <w:r>
        <w:rPr>
          <w:b/>
        </w:rPr>
        <w:t>IT Service Desk</w:t>
      </w:r>
      <w:r>
        <w:t xml:space="preserve"> at ext. </w:t>
      </w:r>
      <w:r>
        <w:rPr>
          <w:b/>
        </w:rPr>
        <w:t>5000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