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Incident Response Policy</w:t>
      </w:r>
    </w:p>
    <w:p>
      <w:r/>
      <w:r>
        <w:rPr>
          <w:b/>
        </w:rPr>
        <w:t>Policy ID:</w:t>
      </w:r>
      <w:r>
        <w:t xml:space="preserve"> IT-POL-007</w:t>
      </w:r>
    </w:p>
    <w:p>
      <w:r/>
      <w:r>
        <w:rPr>
          <w:b/>
        </w:rPr>
        <w:t>Effective Date:</w:t>
      </w:r>
      <w:r>
        <w:t xml:space="preserve"> January 1, 2025</w:t>
      </w:r>
    </w:p>
    <w:p>
      <w:r/>
      <w:r>
        <w:rPr>
          <w:b/>
        </w:rPr>
        <w:t>Last Revised:</w:t>
      </w:r>
      <w:r>
        <w:t xml:space="preserve"> October 15, 2025</w:t>
      </w:r>
    </w:p>
    <w:p>
      <w:r/>
      <w:r>
        <w:rPr>
          <w:b/>
        </w:rPr>
        <w:t>Approved By:</w:t>
      </w:r>
      <w:r>
        <w:t xml:space="preserve"> James Park, Chief Information Security Officer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defines the procedures for detecting, reporting, responding to, and recovering from information security incidents at Contoso Ltd.</w:t>
      </w:r>
    </w:p>
    <w:p>
      <w:pPr>
        <w:pStyle w:val="Heading2"/>
      </w:pPr>
      <w:r>
        <w:t>2. Scope</w:t>
      </w:r>
    </w:p>
    <w:p>
      <w:r>
        <w:t>This policy covers all security events and incidents affecting Contoso's information systems, data, employees, and third-party partners.</w:t>
      </w:r>
    </w:p>
    <w:p>
      <w:pPr>
        <w:pStyle w:val="Heading2"/>
      </w:pPr>
      <w:r>
        <w:t>3.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Security Event</w:t>
            </w:r>
          </w:p>
        </w:tc>
        <w:tc>
          <w:tcPr>
            <w:tcW w:type="dxa" w:w="4320"/>
          </w:tcPr>
          <w:p>
            <w:r>
              <w:t>Any observable occurrence relevant to information security (e.g., failed login, firewall alert).</w:t>
            </w:r>
          </w:p>
        </w:tc>
      </w:tr>
      <w:tr>
        <w:tc>
          <w:tcPr>
            <w:tcW w:type="dxa" w:w="4320"/>
          </w:tcPr>
          <w:p>
            <w:r>
              <w:t>Security Incident</w:t>
            </w:r>
          </w:p>
        </w:tc>
        <w:tc>
          <w:tcPr>
            <w:tcW w:type="dxa" w:w="4320"/>
          </w:tcPr>
          <w:p>
            <w:r>
              <w:t>A confirmed or strongly suspected breach of security policy that impacts confidentiality, integrity, or availability of data or systems.</w:t>
            </w:r>
          </w:p>
        </w:tc>
      </w:tr>
      <w:tr>
        <w:tc>
          <w:tcPr>
            <w:tcW w:type="dxa" w:w="4320"/>
          </w:tcPr>
          <w:p>
            <w:r>
              <w:t>Data Breach</w:t>
            </w:r>
          </w:p>
        </w:tc>
        <w:tc>
          <w:tcPr>
            <w:tcW w:type="dxa" w:w="4320"/>
          </w:tcPr>
          <w:p>
            <w:r>
              <w:t>A security incident that results in unauthorized access to or disclosure of Restricted or Confidential data.</w:t>
            </w:r>
          </w:p>
        </w:tc>
      </w:tr>
    </w:tbl>
    <w:p/>
    <w:p>
      <w:pPr>
        <w:pStyle w:val="Heading2"/>
      </w:pPr>
      <w:r>
        <w:t>4. Incident Severity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 Time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Active data breach, ransomware, system-wide outage</w:t>
            </w:r>
          </w:p>
        </w:tc>
        <w:tc>
          <w:tcPr>
            <w:tcW w:type="dxa" w:w="2880"/>
          </w:tcPr>
          <w:p>
            <w:r>
              <w:t>15 minutes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Confirmed unauthorized access, compromised privileged account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Suspicious activity, phishing with credential entry, malware detected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Anomalous but unconfirmed activity, policy violations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</w:tr>
    </w:tbl>
    <w:p/>
    <w:p>
      <w:pPr>
        <w:pStyle w:val="Heading2"/>
      </w:pPr>
      <w:r>
        <w:t>5. Reporting an Incident</w:t>
      </w:r>
    </w:p>
    <w:p>
      <w:r>
        <w:t>Any employee who suspects or witnesses a security incident must report it immediately via: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4320"/>
          </w:tcPr>
          <w:p>
            <w:r>
              <w:t>IT Service Desk</w:t>
            </w:r>
          </w:p>
        </w:tc>
        <w:tc>
          <w:tcPr>
            <w:tcW w:type="dxa" w:w="4320"/>
          </w:tcPr>
          <w:p>
            <w:r>
              <w:t>it-help@contoso.com / ext. 5000</w:t>
            </w:r>
          </w:p>
        </w:tc>
      </w:tr>
      <w:tr>
        <w:tc>
          <w:tcPr>
            <w:tcW w:type="dxa" w:w="4320"/>
          </w:tcPr>
          <w:p>
            <w:r>
              <w:t>Security Operations Center</w:t>
            </w:r>
          </w:p>
        </w:tc>
        <w:tc>
          <w:tcPr>
            <w:tcW w:type="dxa" w:w="4320"/>
          </w:tcPr>
          <w:p>
            <w:r>
              <w:t>security@contoso.com</w:t>
            </w:r>
          </w:p>
        </w:tc>
      </w:tr>
      <w:tr>
        <w:tc>
          <w:tcPr>
            <w:tcW w:type="dxa" w:w="4320"/>
          </w:tcPr>
          <w:p>
            <w:r>
              <w:t>Emergency Hotline (24/7)</w:t>
            </w:r>
          </w:p>
        </w:tc>
        <w:tc>
          <w:tcPr>
            <w:tcW w:type="dxa" w:w="4320"/>
          </w:tcPr>
          <w:p>
            <w:r>
              <w:t>1-800-555-SEC1 (7321)</w:t>
            </w:r>
          </w:p>
        </w:tc>
      </w:tr>
      <w:tr>
        <w:tc>
          <w:tcPr>
            <w:tcW w:type="dxa" w:w="4320"/>
          </w:tcPr>
          <w:p>
            <w:r>
              <w:t>Anonymous Reporting</w:t>
            </w:r>
          </w:p>
        </w:tc>
        <w:tc>
          <w:tcPr>
            <w:tcW w:type="dxa" w:w="4320"/>
          </w:tcPr>
          <w:p>
            <w:r>
              <w:t>security-anon.contoso.com</w:t>
            </w:r>
          </w:p>
        </w:tc>
      </w:tr>
    </w:tbl>
    <w:p/>
    <w:p>
      <w:r/>
      <w:r>
        <w:rPr>
          <w:b/>
        </w:rPr>
        <w:t>Do not</w:t>
      </w:r>
      <w:r>
        <w:t xml:space="preserve"> attempt to investigate or remediate the incident yourself. Preserve evidence by not shutting down, deleting files, or modifying affected systems.</w:t>
      </w:r>
    </w:p>
    <w:p>
      <w:pPr>
        <w:pStyle w:val="Heading2"/>
      </w:pPr>
      <w:r>
        <w:t>6. Incident Response Process</w:t>
      </w:r>
    </w:p>
    <w:p>
      <w:pPr>
        <w:pStyle w:val="Heading3"/>
      </w:pPr>
      <w:r>
        <w:t>6.1 Phase 1: Detection &amp; Triage (0–30 minutes)</w:t>
      </w:r>
    </w:p>
    <w:p>
      <w:pPr>
        <w:pStyle w:val="ListBullet"/>
      </w:pPr>
      <w:r>
        <w:t>The Security Operations Center (SOC) receives and logs the report.</w:t>
      </w:r>
    </w:p>
    <w:p>
      <w:pPr>
        <w:pStyle w:val="ListBullet"/>
      </w:pPr>
      <w:r>
        <w:t>Initial severity assessment is performed.</w:t>
      </w:r>
    </w:p>
    <w:p>
      <w:pPr>
        <w:pStyle w:val="ListBullet"/>
      </w:pPr>
      <w:r>
        <w:t xml:space="preserve">An </w:t>
      </w:r>
      <w:r>
        <w:rPr>
          <w:b/>
        </w:rPr>
        <w:t>Incident Commander</w:t>
      </w:r>
      <w:r>
        <w:t xml:space="preserve"> is assigned for Medium and above incidents.</w:t>
      </w:r>
    </w:p>
    <w:p>
      <w:pPr>
        <w:pStyle w:val="Heading3"/>
      </w:pPr>
      <w:r>
        <w:t>6.2 Phase 2: Containment (30 minutes – 4 hours)</w:t>
      </w:r>
    </w:p>
    <w:p>
      <w:pPr>
        <w:pStyle w:val="ListBullet"/>
      </w:pPr>
      <w:r>
        <w:t>Affected systems or accounts are isolated.</w:t>
      </w:r>
    </w:p>
    <w:p>
      <w:pPr>
        <w:pStyle w:val="ListBullet"/>
      </w:pPr>
      <w:r>
        <w:t>Compromised credentials are reset.</w:t>
      </w:r>
    </w:p>
    <w:p>
      <w:pPr>
        <w:pStyle w:val="ListBullet"/>
      </w:pPr>
      <w:r>
        <w:t>Network segments may be quarantined.</w:t>
      </w:r>
    </w:p>
    <w:p>
      <w:pPr>
        <w:pStyle w:val="ListBullet"/>
      </w:pPr>
      <w:r>
        <w:t>Forensic imaging begins for Critical/High incidents.</w:t>
      </w:r>
    </w:p>
    <w:p>
      <w:pPr>
        <w:pStyle w:val="Heading3"/>
      </w:pPr>
      <w:r>
        <w:t>6.3 Phase 3: Eradication &amp; Recovery (4 hours – 72 hours)</w:t>
      </w:r>
    </w:p>
    <w:p>
      <w:pPr>
        <w:pStyle w:val="ListBullet"/>
      </w:pPr>
      <w:r>
        <w:t>Root cause is identified and eliminated.</w:t>
      </w:r>
    </w:p>
    <w:p>
      <w:pPr>
        <w:pStyle w:val="ListBullet"/>
      </w:pPr>
      <w:r>
        <w:t>Systems are restored from clean backups.</w:t>
      </w:r>
    </w:p>
    <w:p>
      <w:pPr>
        <w:pStyle w:val="ListBullet"/>
      </w:pPr>
      <w:r>
        <w:t>Additional monitoring is deployed on affected assets.</w:t>
      </w:r>
    </w:p>
    <w:p>
      <w:pPr>
        <w:pStyle w:val="ListBullet"/>
      </w:pPr>
      <w:r>
        <w:t>Affected users are notified and guided on protective steps (e.g., password reset, credit monitoring).</w:t>
      </w:r>
    </w:p>
    <w:p>
      <w:pPr>
        <w:pStyle w:val="Heading3"/>
      </w:pPr>
      <w:r>
        <w:t>6.4 Phase 4: Post-Incident Review (Within 10 business days)</w:t>
      </w:r>
    </w:p>
    <w:p>
      <w:pPr>
        <w:pStyle w:val="ListBullet"/>
      </w:pPr>
      <w:r>
        <w:t xml:space="preserve">A </w:t>
      </w:r>
      <w:r>
        <w:rPr>
          <w:b/>
        </w:rPr>
        <w:t>Post-Incident Report (PIR)</w:t>
      </w:r>
      <w:r>
        <w:t xml:space="preserve"> is prepared for Medium and above incidents.</w:t>
      </w:r>
    </w:p>
    <w:p>
      <w:pPr>
        <w:pStyle w:val="ListBullet"/>
      </w:pPr>
      <w:r>
        <w:t>A blameless retrospective meeting is held with all involved parties.</w:t>
      </w:r>
    </w:p>
    <w:p>
      <w:pPr>
        <w:pStyle w:val="ListBullet"/>
      </w:pPr>
      <w:r>
        <w:t>Remediation action items are assigned with deadlines and owners.</w:t>
      </w:r>
    </w:p>
    <w:p>
      <w:pPr>
        <w:pStyle w:val="ListBullet"/>
      </w:pPr>
      <w:r>
        <w:t>Lessons learned are shared with the broader organization (anonymized if necessary).</w:t>
      </w:r>
    </w:p>
    <w:p>
      <w:pPr>
        <w:pStyle w:val="Heading2"/>
      </w:pPr>
      <w:r>
        <w:t>7. Communication</w:t>
      </w:r>
    </w:p>
    <w:p>
      <w:pPr>
        <w:pStyle w:val="ListBullet"/>
      </w:pPr>
      <w:r/>
      <w:r>
        <w:rPr>
          <w:b/>
        </w:rPr>
        <w:t>Internal:</w:t>
      </w:r>
      <w:r>
        <w:t xml:space="preserve"> The Incident Commander coordinates all internal communications. Employees must not discuss incidents on social media or with external parties.</w:t>
      </w:r>
    </w:p>
    <w:p>
      <w:pPr>
        <w:pStyle w:val="ListBullet"/>
      </w:pPr>
      <w:r/>
      <w:r>
        <w:rPr>
          <w:b/>
        </w:rPr>
        <w:t>External:</w:t>
      </w:r>
      <w:r>
        <w:t xml:space="preserve"> The Legal and Communications teams handle all external disclosures, including regulatory notifications (e.g., Privacy Commissioner) within the legally required timeframes.</w:t>
      </w:r>
    </w:p>
    <w:p>
      <w:pPr>
        <w:pStyle w:val="ListBullet"/>
      </w:pPr>
      <w:r/>
      <w:r>
        <w:rPr>
          <w:b/>
        </w:rPr>
        <w:t>Regulatory:</w:t>
      </w:r>
      <w:r>
        <w:t xml:space="preserve"> Data breaches affecting personal information must be reported to the Office of the Privacy Commissioner of Canada within </w:t>
      </w:r>
      <w:r>
        <w:rPr>
          <w:b/>
        </w:rPr>
        <w:t>72 hours</w:t>
      </w:r>
      <w:r>
        <w:t>.</w:t>
      </w:r>
    </w:p>
    <w:p>
      <w:pPr>
        <w:pStyle w:val="Heading2"/>
      </w:pPr>
      <w:r>
        <w:t>8. Evidence Preservation</w:t>
      </w:r>
    </w:p>
    <w:p>
      <w:pPr>
        <w:pStyle w:val="ListBullet"/>
      </w:pPr>
      <w:r>
        <w:t xml:space="preserve">All incident-related evidence (logs, emails, screenshots, forensic images) must be preserved for at least </w:t>
      </w:r>
      <w:r>
        <w:rPr>
          <w:b/>
        </w:rPr>
        <w:t>7 years</w:t>
      </w:r>
      <w:r>
        <w:t>.</w:t>
      </w:r>
    </w:p>
    <w:p>
      <w:pPr>
        <w:pStyle w:val="ListBullet"/>
      </w:pPr>
      <w:r>
        <w:t>Chain of custody must be documented for any evidence that may be used in legal proceedings.</w:t>
      </w:r>
    </w:p>
    <w:p>
      <w:pPr>
        <w:pStyle w:val="Heading2"/>
      </w:pPr>
      <w:r>
        <w:t>9. Annual Testing</w:t>
      </w:r>
    </w:p>
    <w:p>
      <w:pPr>
        <w:pStyle w:val="ListBullet"/>
      </w:pPr>
      <w:r>
        <w:t xml:space="preserve">The Incident Response Plan is tested at least </w:t>
      </w:r>
      <w:r>
        <w:rPr>
          <w:b/>
        </w:rPr>
        <w:t>twice per year</w:t>
      </w:r>
      <w:r>
        <w:t xml:space="preserve"> through tabletop exercises and simulated incidents.</w:t>
      </w:r>
    </w:p>
    <w:p>
      <w:pPr>
        <w:pStyle w:val="ListBullet"/>
      </w:pPr>
      <w:r>
        <w:t>Results are documented and used to improve the plan.</w:t>
      </w:r>
    </w:p>
    <w:p>
      <w:pPr>
        <w:pStyle w:val="Heading2"/>
      </w:pPr>
      <w:r>
        <w:t>10. Contact</w:t>
      </w:r>
    </w:p>
    <w:p>
      <w:r>
        <w:t xml:space="preserve">For security incidents, contact the </w:t>
      </w:r>
      <w:r>
        <w:rPr>
          <w:b/>
        </w:rPr>
        <w:t>Security Operations Center</w:t>
      </w:r>
      <w:r>
        <w:t xml:space="preserve"> at </w:t>
      </w:r>
      <w:r>
        <w:rPr>
          <w:b/>
        </w:rPr>
        <w:t>security@contoso.com</w:t>
      </w:r>
      <w:r>
        <w:t xml:space="preserve"> or the </w:t>
      </w:r>
      <w:r>
        <w:rPr>
          <w:b/>
        </w:rPr>
        <w:t>24/7 Emergency Hotline</w:t>
      </w:r>
      <w:r>
        <w:t xml:space="preserve"> at </w:t>
      </w:r>
      <w:r>
        <w:rPr>
          <w:b/>
        </w:rPr>
        <w:t>1-800-555-7321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