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Password &amp; Credential Management Policy</w:t>
      </w:r>
    </w:p>
    <w:p>
      <w:r/>
      <w:r>
        <w:rPr>
          <w:b/>
        </w:rPr>
        <w:t>Policy ID:</w:t>
      </w:r>
      <w:r>
        <w:t xml:space="preserve"> IT-POL-004</w:t>
      </w:r>
    </w:p>
    <w:p>
      <w:r/>
      <w:r>
        <w:rPr>
          <w:b/>
        </w:rPr>
        <w:t>Effective Date:</w:t>
      </w:r>
      <w:r>
        <w:t xml:space="preserve"> January 1, 2025</w:t>
      </w:r>
    </w:p>
    <w:p>
      <w:r/>
      <w:r>
        <w:rPr>
          <w:b/>
        </w:rPr>
        <w:t>Last Revised:</w:t>
      </w:r>
      <w:r>
        <w:t xml:space="preserve"> June 15, 2025</w:t>
      </w:r>
    </w:p>
    <w:p>
      <w:r/>
      <w:r>
        <w:rPr>
          <w:b/>
        </w:rPr>
        <w:t>Approved By:</w:t>
      </w:r>
      <w:r>
        <w:t xml:space="preserve"> James Park, Chief Information Security Officer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Purpose</w:t>
      </w:r>
    </w:p>
    <w:p>
      <w:r>
        <w:t>This policy defines the requirements for creating, managing, and protecting passwords and credentials across all Contoso Ltd. systems.</w:t>
      </w:r>
    </w:p>
    <w:p>
      <w:pPr>
        <w:pStyle w:val="Heading2"/>
      </w:pPr>
      <w:r>
        <w:t>2. Scope</w:t>
      </w:r>
    </w:p>
    <w:p>
      <w:r>
        <w:t>This policy applies to all user accounts, service accounts, and system accounts on Contoso-managed systems, applications, and cloud services.</w:t>
      </w:r>
    </w:p>
    <w:p>
      <w:pPr>
        <w:pStyle w:val="Heading2"/>
      </w:pPr>
      <w:r>
        <w:t>3. Password Requirements</w:t>
      </w:r>
    </w:p>
    <w:p>
      <w:pPr>
        <w:pStyle w:val="Heading3"/>
      </w:pPr>
      <w:r>
        <w:t>3.1 User Accounts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</w:tr>
      <w:tr>
        <w:tc>
          <w:tcPr>
            <w:tcW w:type="dxa" w:w="4320"/>
          </w:tcPr>
          <w:p>
            <w:r>
              <w:t>Minimum length</w:t>
            </w:r>
          </w:p>
        </w:tc>
        <w:tc>
          <w:tcPr>
            <w:tcW w:type="dxa" w:w="4320"/>
          </w:tcPr>
          <w:p>
            <w:r>
              <w:t>14 characters</w:t>
            </w:r>
          </w:p>
        </w:tc>
      </w:tr>
      <w:tr>
        <w:tc>
          <w:tcPr>
            <w:tcW w:type="dxa" w:w="4320"/>
          </w:tcPr>
          <w:p>
            <w:r>
              <w:t>Complexity</w:t>
            </w:r>
          </w:p>
        </w:tc>
        <w:tc>
          <w:tcPr>
            <w:tcW w:type="dxa" w:w="4320"/>
          </w:tcPr>
          <w:p>
            <w:r>
              <w:t>At least 3 of 4: uppercase, lowercase, numbers, special characters</w:t>
            </w:r>
          </w:p>
        </w:tc>
      </w:tr>
      <w:tr>
        <w:tc>
          <w:tcPr>
            <w:tcW w:type="dxa" w:w="4320"/>
          </w:tcPr>
          <w:p>
            <w:r>
              <w:t>Maximum age</w:t>
            </w:r>
          </w:p>
        </w:tc>
        <w:tc>
          <w:tcPr>
            <w:tcW w:type="dxa" w:w="4320"/>
          </w:tcPr>
          <w:p>
            <w:r>
              <w:t>365 days (annual rotation)</w:t>
            </w:r>
          </w:p>
        </w:tc>
      </w:tr>
      <w:tr>
        <w:tc>
          <w:tcPr>
            <w:tcW w:type="dxa" w:w="4320"/>
          </w:tcPr>
          <w:p>
            <w:r>
              <w:t>History</w:t>
            </w:r>
          </w:p>
        </w:tc>
        <w:tc>
          <w:tcPr>
            <w:tcW w:type="dxa" w:w="4320"/>
          </w:tcPr>
          <w:p>
            <w:r>
              <w:t>Cannot reuse the last 12 passwords</w:t>
            </w:r>
          </w:p>
        </w:tc>
      </w:tr>
      <w:tr>
        <w:tc>
          <w:tcPr>
            <w:tcW w:type="dxa" w:w="4320"/>
          </w:tcPr>
          <w:p>
            <w:r>
              <w:t>Lockout threshold</w:t>
            </w:r>
          </w:p>
        </w:tc>
        <w:tc>
          <w:tcPr>
            <w:tcW w:type="dxa" w:w="4320"/>
          </w:tcPr>
          <w:p>
            <w:r>
              <w:t>10 failed attempts → 30-minute lockout</w:t>
            </w:r>
          </w:p>
        </w:tc>
      </w:tr>
    </w:tbl>
    <w:p/>
    <w:p>
      <w:pPr>
        <w:pStyle w:val="Heading3"/>
      </w:pPr>
      <w:r>
        <w:t>3.2 Privileged / Admin Accounts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</w:tr>
      <w:tr>
        <w:tc>
          <w:tcPr>
            <w:tcW w:type="dxa" w:w="4320"/>
          </w:tcPr>
          <w:p>
            <w:r>
              <w:t>Minimum length</w:t>
            </w:r>
          </w:p>
        </w:tc>
        <w:tc>
          <w:tcPr>
            <w:tcW w:type="dxa" w:w="4320"/>
          </w:tcPr>
          <w:p>
            <w:r>
              <w:t>20 characters</w:t>
            </w:r>
          </w:p>
        </w:tc>
      </w:tr>
      <w:tr>
        <w:tc>
          <w:tcPr>
            <w:tcW w:type="dxa" w:w="4320"/>
          </w:tcPr>
          <w:p>
            <w:r>
              <w:t>Maximum age</w:t>
            </w:r>
          </w:p>
        </w:tc>
        <w:tc>
          <w:tcPr>
            <w:tcW w:type="dxa" w:w="4320"/>
          </w:tcPr>
          <w:p>
            <w:r>
              <w:t>90 days</w:t>
            </w:r>
          </w:p>
        </w:tc>
      </w:tr>
      <w:tr>
        <w:tc>
          <w:tcPr>
            <w:tcW w:type="dxa" w:w="4320"/>
          </w:tcPr>
          <w:p>
            <w:r>
              <w:t>Storage</w:t>
            </w:r>
          </w:p>
        </w:tc>
        <w:tc>
          <w:tcPr>
            <w:tcW w:type="dxa" w:w="4320"/>
          </w:tcPr>
          <w:p>
            <w:r>
              <w:t>Must be stored in the corporate password vault (CyberArk)</w:t>
            </w:r>
          </w:p>
        </w:tc>
      </w:tr>
      <w:tr>
        <w:tc>
          <w:tcPr>
            <w:tcW w:type="dxa" w:w="4320"/>
          </w:tcPr>
          <w:p>
            <w:r>
              <w:t>MFA</w:t>
            </w:r>
          </w:p>
        </w:tc>
        <w:tc>
          <w:tcPr>
            <w:tcW w:type="dxa" w:w="4320"/>
          </w:tcPr>
          <w:p>
            <w:r>
              <w:t>Always required (FIDO2 key preferred)</w:t>
            </w:r>
          </w:p>
        </w:tc>
      </w:tr>
    </w:tbl>
    <w:p/>
    <w:p>
      <w:pPr>
        <w:pStyle w:val="Heading3"/>
      </w:pPr>
      <w:r>
        <w:t>3.3 Service Accounts</w:t>
      </w:r>
    </w:p>
    <w:p>
      <w:pPr>
        <w:pStyle w:val="ListBullet"/>
      </w:pPr>
      <w:r>
        <w:t xml:space="preserve">Service account passwords must be at least </w:t>
      </w:r>
      <w:r>
        <w:rPr>
          <w:b/>
        </w:rPr>
        <w:t>30 characters</w:t>
      </w:r>
      <w:r>
        <w:t xml:space="preserve"> and randomly generated.</w:t>
      </w:r>
    </w:p>
    <w:p>
      <w:pPr>
        <w:pStyle w:val="ListBullet"/>
      </w:pPr>
      <w:r>
        <w:t xml:space="preserve">Service accounts must use </w:t>
      </w:r>
      <w:r>
        <w:rPr>
          <w:b/>
        </w:rPr>
        <w:t>Managed Service Accounts (gMSA)</w:t>
      </w:r>
      <w:r>
        <w:t xml:space="preserve"> or certificate-based authentication where supported.</w:t>
      </w:r>
    </w:p>
    <w:p>
      <w:pPr>
        <w:pStyle w:val="ListBullet"/>
      </w:pPr>
      <w:r>
        <w:t xml:space="preserve">Manual service account passwords must be rotated every </w:t>
      </w:r>
      <w:r>
        <w:rPr>
          <w:b/>
        </w:rPr>
        <w:t>90 days</w:t>
      </w:r>
      <w:r>
        <w:t>.</w:t>
      </w:r>
    </w:p>
    <w:p>
      <w:pPr>
        <w:pStyle w:val="Heading2"/>
      </w:pPr>
      <w:r>
        <w:t>4. Password Best Practices</w:t>
      </w:r>
    </w:p>
    <w:p>
      <w:r>
        <w:t>Employees are encouraged to:</w:t>
      </w:r>
    </w:p>
    <w:p>
      <w:pPr>
        <w:pStyle w:val="ListBullet"/>
      </w:pPr>
      <w:r>
        <w:t xml:space="preserve">Use </w:t>
      </w:r>
      <w:r>
        <w:rPr>
          <w:b/>
        </w:rPr>
        <w:t>passphrases</w:t>
      </w:r>
      <w:r>
        <w:t xml:space="preserve"> (e.g., "Correct-Horse-Battery-Staple-42!") rather than complex short passwords.</w:t>
      </w:r>
    </w:p>
    <w:p>
      <w:pPr>
        <w:pStyle w:val="ListBullet"/>
      </w:pPr>
      <w:r>
        <w:t xml:space="preserve">Use the company-approved </w:t>
      </w:r>
      <w:r>
        <w:rPr>
          <w:b/>
        </w:rPr>
        <w:t>password manager</w:t>
      </w:r>
      <w:r>
        <w:t xml:space="preserve"> (1Password for Business) for all non-SSO credentials.</w:t>
      </w:r>
    </w:p>
    <w:p>
      <w:pPr>
        <w:pStyle w:val="ListBullet"/>
      </w:pPr>
      <w:r>
        <w:t>Never reuse a corporate password on personal or external services.</w:t>
      </w:r>
    </w:p>
    <w:p>
      <w:pPr>
        <w:pStyle w:val="ListBullet"/>
      </w:pPr>
      <w:r>
        <w:t>Never share passwords, even with IT staff (IT will never ask for your password).</w:t>
      </w:r>
    </w:p>
    <w:p>
      <w:pPr>
        <w:pStyle w:val="Heading2"/>
      </w:pPr>
      <w:r>
        <w:t>5. Prohibited Practices</w:t>
      </w:r>
    </w:p>
    <w:p>
      <w:r>
        <w:t>The following are strictly prohibited:</w:t>
      </w:r>
    </w:p>
    <w:p>
      <w:pPr>
        <w:pStyle w:val="ListBullet"/>
      </w:pPr>
      <w:r>
        <w:t>Writing passwords on sticky notes, whiteboards, or shared documents</w:t>
      </w:r>
    </w:p>
    <w:p>
      <w:pPr>
        <w:pStyle w:val="ListBullet"/>
      </w:pPr>
      <w:r>
        <w:t>Storing passwords in plain text (spreadsheets, text files, emails, chat)</w:t>
      </w:r>
    </w:p>
    <w:p>
      <w:pPr>
        <w:pStyle w:val="ListBullet"/>
      </w:pPr>
      <w:r>
        <w:t>Sharing credentials with colleagues, even for "temporary" access</w:t>
      </w:r>
    </w:p>
    <w:p>
      <w:pPr>
        <w:pStyle w:val="ListBullet"/>
      </w:pPr>
      <w:r>
        <w:t>Using corporate email addresses to register for personal services</w:t>
      </w:r>
    </w:p>
    <w:p>
      <w:pPr>
        <w:pStyle w:val="ListBullet"/>
      </w:pPr>
      <w:r>
        <w:t>Embedding credentials in source code, scripts, or configuration files</w:t>
      </w:r>
    </w:p>
    <w:p>
      <w:pPr>
        <w:pStyle w:val="Heading2"/>
      </w:pPr>
      <w:r>
        <w:t>6. Single Sign-On (SSO)</w:t>
      </w:r>
    </w:p>
    <w:p>
      <w:pPr>
        <w:pStyle w:val="ListBullet"/>
      </w:pPr>
      <w:r>
        <w:t xml:space="preserve">All corporate applications must use </w:t>
      </w:r>
      <w:r>
        <w:rPr>
          <w:b/>
        </w:rPr>
        <w:t>Azure AD SSO</w:t>
      </w:r>
      <w:r>
        <w:t xml:space="preserve"> where technically feasible.</w:t>
      </w:r>
    </w:p>
    <w:p>
      <w:pPr>
        <w:pStyle w:val="ListBullet"/>
      </w:pPr>
      <w:r>
        <w:t>Applications that do not support SSO must be registered with IT and credentials stored in the corporate password vault.</w:t>
      </w:r>
    </w:p>
    <w:p>
      <w:pPr>
        <w:pStyle w:val="ListBullet"/>
      </w:pPr>
      <w:r>
        <w:t>Shadow IT applications discovered during audits will be evaluated for SSO integration or blocked.</w:t>
      </w:r>
    </w:p>
    <w:p>
      <w:pPr>
        <w:pStyle w:val="Heading2"/>
      </w:pPr>
      <w:r>
        <w:t>7. Password Reset Process</w:t>
      </w:r>
    </w:p>
    <w:p>
      <w:pPr>
        <w:pStyle w:val="ListBullet"/>
      </w:pPr>
      <w:r>
        <w:t xml:space="preserve">Self-service password reset (SSPR) is available at </w:t>
      </w:r>
      <w:r>
        <w:rPr>
          <w:b/>
        </w:rPr>
        <w:t>https://passwordreset.contoso.com</w:t>
      </w:r>
      <w:r>
        <w:t>.</w:t>
      </w:r>
    </w:p>
    <w:p>
      <w:pPr>
        <w:pStyle w:val="ListBullet"/>
      </w:pPr>
      <w:r>
        <w:t>SSPR requires MFA verification.</w:t>
      </w:r>
    </w:p>
    <w:p>
      <w:pPr>
        <w:pStyle w:val="ListBullet"/>
      </w:pPr>
      <w:r>
        <w:t xml:space="preserve">If MFA is unavailable, the employee must visit the IT Service Desk </w:t>
      </w:r>
      <w:r>
        <w:rPr>
          <w:b/>
        </w:rPr>
        <w:t>in person</w:t>
      </w:r>
      <w:r>
        <w:t xml:space="preserve"> with a government-issued photo ID.</w:t>
      </w:r>
    </w:p>
    <w:p>
      <w:pPr>
        <w:pStyle w:val="ListBullet"/>
      </w:pPr>
      <w:r>
        <w:t>Passwords may also be reset by calling the IT Service Desk after identity verification (employee ID + date of birth + manager confirmation).</w:t>
      </w:r>
    </w:p>
    <w:p>
      <w:pPr>
        <w:pStyle w:val="Heading2"/>
      </w:pPr>
      <w:r>
        <w:t>8. Breach Response</w:t>
      </w:r>
    </w:p>
    <w:p>
      <w:r>
        <w:t>If a password is suspected to be compromised:</w:t>
      </w:r>
    </w:p>
    <w:p>
      <w:pPr>
        <w:pStyle w:val="ListNumber"/>
      </w:pPr>
      <w:r>
        <w:t xml:space="preserve">Change the password </w:t>
      </w:r>
      <w:r>
        <w:rPr>
          <w:b/>
        </w:rPr>
        <w:t>immediately</w:t>
      </w:r>
      <w:r>
        <w:t xml:space="preserve"> via SSPR or the IT Service Desk.</w:t>
      </w:r>
    </w:p>
    <w:p>
      <w:pPr>
        <w:pStyle w:val="ListNumber"/>
      </w:pPr>
      <w:r>
        <w:t xml:space="preserve">Report the incident to </w:t>
      </w:r>
      <w:r>
        <w:rPr>
          <w:b/>
        </w:rPr>
        <w:t>security@contoso.com</w:t>
      </w:r>
      <w:r>
        <w:t>.</w:t>
      </w:r>
    </w:p>
    <w:p>
      <w:pPr>
        <w:pStyle w:val="ListNumber"/>
      </w:pPr>
      <w:r>
        <w:t>The IT Security Team will review access logs and initiate an investigation if warranted.</w:t>
      </w:r>
    </w:p>
    <w:p>
      <w:pPr>
        <w:pStyle w:val="ListNumber"/>
      </w:pPr>
      <w:r>
        <w:t>Affected accounts may be temporarily suspended during the investigation.</w:t>
      </w:r>
    </w:p>
    <w:p>
      <w:pPr>
        <w:pStyle w:val="Heading2"/>
      </w:pPr>
      <w:r>
        <w:t>9. Contact</w:t>
      </w:r>
    </w:p>
    <w:p>
      <w:r>
        <w:t xml:space="preserve">For credential issues, contact the </w:t>
      </w:r>
      <w:r>
        <w:rPr>
          <w:b/>
        </w:rPr>
        <w:t>IT Service Desk</w:t>
      </w:r>
      <w:r>
        <w:t xml:space="preserve"> at </w:t>
      </w:r>
      <w:r>
        <w:rPr>
          <w:b/>
        </w:rPr>
        <w:t>it-help@contoso.com</w:t>
      </w:r>
      <w:r>
        <w:t xml:space="preserve"> or ext. </w:t>
      </w:r>
      <w:r>
        <w:rPr>
          <w:b/>
        </w:rPr>
        <w:t>5000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