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24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Envío Masivo de Correos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Envío Masivo de Correos. Su objetivo principal es mantener un registro histórico y detallado de todas las comunicaciones enviadas. Específicamente, este sub-módulo se encarga de almacenar y rastrear cada envío de correo masivo o propuesta, incluyendo detalles clave como la fecha, el destinatario y el estado de la entrega. Su función es ofrecer trazabilidad completa de las campañas de correo para evaluar su rendimiento, asegurar la transparencia de la comunicación y optimizar futuras estrategias de marketing.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Historial y Seguimiento</w:t>
      </w:r>
    </w:p>
    <w:p>
      <w:r>
        <w:t>Registro histórico de envíos</w:t>
      </w:r>
    </w:p>
    <w:p>
      <w:r>
        <w:t>2. Gestión de Datos</w:t>
      </w:r>
    </w:p>
    <w:p>
      <w:r>
        <w:t>El sistema deberá almacenar y rastrear cada envío de correo masivo o propuesta, incluyendo detalles clave como la fecha, el destinatario y el estado de la entrega.</w:t>
      </w:r>
    </w:p>
    <w:p>
      <w:r>
        <w:t>3. Trazabilidad y Evaluación</w:t>
      </w:r>
    </w:p>
    <w:p>
      <w:r>
        <w:t>Su función es ofrecer trazabilidad completa de las campañas de correo para evaluar su rendimiento, asegurar la transparencia de la comunicación y optimizar futuras estrategias de marketing.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