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18-inteligencia-ficha-de-repaso"/>
    <w:p>
      <w:pPr>
        <w:pStyle w:val="Heading1"/>
      </w:pPr>
      <w:r>
        <w:t xml:space="preserve">C18 — Inteligencia · Ficha de repaso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 inteligencia adulta</w:t>
      </w:r>
      <w:r>
        <w:t xml:space="preserve"> </w:t>
      </w:r>
      <w:r>
        <w:rPr>
          <w:b/>
          <w:bCs/>
        </w:rPr>
        <w:t xml:space="preserve">no declina en bloque</w:t>
      </w:r>
      <w:r>
        <w:t xml:space="preserve">: es multidimensional y multidireccional. Declinan antes las capacidades «fluidas» (mecánica) y se mantienen o mejoran las «cristalizadas» (pragmática), con enorme variabilidad individual, efectos de cohorte y plasticidad. El CI mide solo una parte: se la complementa con</w:t>
      </w:r>
      <w:r>
        <w:t xml:space="preserve"> </w:t>
      </w:r>
      <w:r>
        <w:rPr>
          <w:b/>
          <w:bCs/>
        </w:rPr>
        <w:t xml:space="preserve">creatividad, pensamiento maduro (posformal), sabiduría y razonamiento moral</w:t>
      </w:r>
      <w:r>
        <w:t xml:space="preserve">, que se nutren de la experiencia (Papalia et al., 2009b, pp. 193, 217-218, 230-232, 265).</w:t>
      </w:r>
    </w:p>
    <w:p>
      <w:pPr>
        <w:pStyle w:val="BodyText"/>
      </w:pPr>
      <w:r>
        <w:drawing>
          <wp:inline>
            <wp:extent cx="5759999" cy="1469387"/>
            <wp:effectExtent b="0" l="0" r="0" t="0"/>
            <wp:docPr descr="Diagrama de la guía" title="" id="10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sicología%20Evolutiva/3_Guias_de_Estudio/_media/C18_Inteligencia_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469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esqueletos-de-respuesta"/>
    <w:p>
      <w:pPr>
        <w:pStyle w:val="Heading2"/>
      </w:pPr>
      <w:r>
        <w:t xml:space="preserve">Esqueletos de respuesta</w:t>
      </w:r>
    </w:p>
    <w:p>
      <w:pPr>
        <w:pStyle w:val="FirstParagraph"/>
      </w:pPr>
      <w:r>
        <w:rPr>
          <w:b/>
          <w:bCs/>
        </w:rPr>
        <w:t xml:space="preserve">P1. Cambio de la inteligencia con la edad.</w:t>
      </w:r>
      <w:r>
        <w:t xml:space="preserve"> </w:t>
      </w:r>
      <w:r>
        <w:t xml:space="preserve">1) Tesis: multidimensional y variable. 2) Fluida vs. cristalizada (Horn y Cattell) (pp. 209-210). 3) Mecánica vs. pragmática (Baltes); optimización selectiva con compensación (pp. 211-213). 4) Seattle (Schaie): estable hasta los 50-60, pérdidas tardías y selectivas (pp. 212-214). 5) Variabilidad individual y plasticidad (pp. 214, 217).</w:t>
      </w:r>
    </w:p>
    <w:p>
      <w:pPr>
        <w:pStyle w:val="BodyText"/>
      </w:pPr>
      <w:r>
        <w:rPr>
          <w:b/>
          <w:bCs/>
        </w:rPr>
        <w:t xml:space="preserve">P2. Sternberg y Gardner.</w:t>
      </w:r>
      <w:r>
        <w:t xml:space="preserve"> </w:t>
      </w:r>
      <w:r>
        <w:t xml:space="preserve">Coinciden en ser multidimensionales y criticar el CI (p. 203). Sternberg: tres aspectos de procesamiento (componencial, experiencial, contextual) (pp. 203-206). Gardner: ocho inteligencias autónomas (p. 206). Diferencia: procesos vs. dominios de talento; la cátedra advierte que la evidencia de Gardner es contradictoria.</w:t>
      </w:r>
    </w:p>
    <w:p>
      <w:pPr>
        <w:pStyle w:val="BodyText"/>
      </w:pPr>
      <w:r>
        <w:rPr>
          <w:b/>
          <w:bCs/>
        </w:rPr>
        <w:t xml:space="preserve">P3. Plasticidad.</w:t>
      </w:r>
      <w:r>
        <w:t xml:space="preserve"> </w:t>
      </w:r>
      <w:r>
        <w:t xml:space="preserve">Horn y Cattell subrayan el declive fluido; Schaie y Baltes, la plasticidad (p. 216). ADEPT: los grupos entrenados no declinaron en siete años (p. 217). Seattle: ~4 de cada 10 recuperaron el nivel de 14 años antes (p. 217).</w:t>
      </w:r>
    </w:p>
    <w:p>
      <w:pPr>
        <w:pStyle w:val="BodyText"/>
      </w:pPr>
      <w:r>
        <w:rPr>
          <w:b/>
          <w:bCs/>
        </w:rPr>
        <w:t xml:space="preserve">P4. Creatividad.</w:t>
      </w:r>
      <w:r>
        <w:t xml:space="preserve"> </w:t>
      </w:r>
      <w:r>
        <w:t xml:space="preserve">Rendimiento (qué y cuánto se produce), producto de fuerzas biológicas, personales, sociales y culturales; se mide con pruebas de pensamiento divergente, estudios biográficos y laboratorio; pico a fines de los 30, según el campo; la calidad no se relaciona con la edad (pp. 220-227).</w:t>
      </w:r>
    </w:p>
    <w:p>
      <w:pPr>
        <w:pStyle w:val="BodyText"/>
      </w:pPr>
      <w:r>
        <w:rPr>
          <w:b/>
          <w:bCs/>
        </w:rPr>
        <w:t xml:space="preserve">P5. Pensamiento posformal.</w:t>
      </w:r>
      <w:r>
        <w:t xml:space="preserve"> </w:t>
      </w:r>
      <w:r>
        <w:t xml:space="preserve">Va más allá de las operaciones formales: relativista, tolera contradicciones e integra lógica y experiencia (p. 238); niveles de Labouvie-Vief: intrasistémico, intersistémico, integrado (p. 240); expertise y encapsulamiento (p. 233).</w:t>
      </w:r>
    </w:p>
    <w:p>
      <w:pPr>
        <w:pStyle w:val="BodyText"/>
      </w:pPr>
      <w:r>
        <w:rPr>
          <w:b/>
          <w:bCs/>
        </w:rPr>
        <w:t xml:space="preserve">P6. Sabiduría.</w:t>
      </w:r>
      <w:r>
        <w:t xml:space="preserve"> </w:t>
      </w:r>
      <w:r>
        <w:t xml:space="preserve">Enfoques: Erikson (integridad), Clayton y Meacham (reconciliar paradojas), Baltes (conocimiento experto en la pragmática de la vida, cinco criterios), Labouvie-Vief (logos + mythos); no es exclusiva de la vejez (pp. 250-254).</w:t>
      </w:r>
    </w:p>
    <w:p>
      <w:pPr>
        <w:pStyle w:val="BodyText"/>
      </w:pPr>
      <w:r>
        <w:rPr>
          <w:b/>
          <w:bCs/>
        </w:rPr>
        <w:t xml:space="preserve">P7. Razonamiento moral.</w:t>
      </w:r>
      <w:r>
        <w:t xml:space="preserve"> </w:t>
      </w:r>
      <w:r>
        <w:t xml:space="preserve">Kohlberg: tres niveles, siete etapas; se evalúa el razonamiento, no la respuesta (pp. 255-258). Gibbs: fases convencional y existencial. Gilligan: moralidad del cuidado; la evidencia no sostiene diferencias de género (p. 264).</w:t>
      </w:r>
    </w:p>
    <w:bookmarkEnd w:id="12"/>
    <w:bookmarkStart w:id="13" w:name="no-confundir"/>
    <w:p>
      <w:pPr>
        <w:pStyle w:val="Heading2"/>
      </w:pPr>
      <w:r>
        <w:t xml:space="preserve">No confundir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Inteligencia fluida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Cristalizada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novedosa, biológica, declina / conocimiento adquirido, cultural, se mantiene (pp. 209-210)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Sternberg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aspectos / ocho inteligencias (pp. 203-206)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respuesta correcta (CI) / amplia gama de posibilidades (creatividad) (p. 220)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Posformal / reflexivo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Lógico y absoluto / relativista e integrador / examen cuidadoso de creencias (pp. 237-239)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Inteligencia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Sabiduría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Saber cómo hacer / preguntar si debe hacerse (Clayton) (p. 251)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de razonamiento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al dilema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justifica / qué se decide (p. 255)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sesgo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Culturalmente justa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contenido cultural / solo experiencias comunes: virtualmente imposible (p. 199)</w:t>
            </w:r>
          </w:p>
        </w:tc>
      </w:tr>
    </w:tbl>
    <w:bookmarkEnd w:id="13"/>
    <w:bookmarkStart w:id="14" w:name="datos-que-conviene-saber"/>
    <w:p>
      <w:pPr>
        <w:pStyle w:val="Heading2"/>
      </w:pPr>
      <w:r>
        <w:t xml:space="preserve">Datos que conviene saber</w:t>
      </w:r>
    </w:p>
    <w:p>
      <w:pPr>
        <w:pStyle w:val="Compact"/>
        <w:numPr>
          <w:ilvl w:val="0"/>
          <w:numId w:val="1001"/>
        </w:numPr>
      </w:pPr>
      <w:r>
        <w:t xml:space="preserve">CI: Binet-Simon (1905), Stern (1911, EM/EC), Wechsler (1939, CI de desviación, media 100) (Papalia et al., 2009b, p. 196).</w:t>
      </w:r>
    </w:p>
    <w:p>
      <w:pPr>
        <w:pStyle w:val="Compact"/>
        <w:numPr>
          <w:ilvl w:val="0"/>
          <w:numId w:val="1001"/>
        </w:numPr>
      </w:pPr>
      <w:r>
        <w:t xml:space="preserve">Cuatro conflictos: una o varias habilidades; crece o declina; varía; es modificable (p. 202).</w:t>
      </w:r>
    </w:p>
    <w:p>
      <w:pPr>
        <w:pStyle w:val="Compact"/>
        <w:numPr>
          <w:ilvl w:val="0"/>
          <w:numId w:val="1001"/>
        </w:numPr>
      </w:pPr>
      <w:r>
        <w:t xml:space="preserve">Un tercio de los mayores de 70 supera al adulto joven promedio (p. 214).</w:t>
      </w:r>
    </w:p>
    <w:bookmarkEnd w:id="14"/>
    <w:bookmarkStart w:id="15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Papalia, D. E., Sterns, H. L., Feldman, R. D., &amp; Camp, C. J. (2009b).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. McGraw Hill Interamericana.</w:t>
      </w:r>
    </w:p>
    <w:bookmarkEnd w:id="15"/>
    <w:bookmarkStart w:id="16" w:name="autoevaluación-rápida"/>
    <w:p>
      <w:pPr>
        <w:pStyle w:val="Heading2"/>
      </w:pPr>
      <w:r>
        <w:t xml:space="preserve">Autoevaluación rápida</w:t>
      </w:r>
    </w:p>
    <w:p>
      <w:pPr>
        <w:pStyle w:val="Compact"/>
        <w:numPr>
          <w:ilvl w:val="0"/>
          <w:numId w:val="1002"/>
        </w:numPr>
      </w:pPr>
      <w:r>
        <w:t xml:space="preserve">¿Qué mide el enfoque psicométrico y cuáles son sus límites?</w:t>
      </w:r>
    </w:p>
    <w:p>
      <w:pPr>
        <w:pStyle w:val="Compact"/>
        <w:numPr>
          <w:ilvl w:val="0"/>
          <w:numId w:val="1002"/>
        </w:numPr>
      </w:pPr>
      <w:r>
        <w:t xml:space="preserve">Diferenciá fluida/cristalizada y mecánica/pragmática.</w:t>
      </w:r>
    </w:p>
    <w:p>
      <w:pPr>
        <w:pStyle w:val="Compact"/>
        <w:numPr>
          <w:ilvl w:val="0"/>
          <w:numId w:val="1002"/>
        </w:numPr>
      </w:pPr>
      <w:r>
        <w:t xml:space="preserve">¿Qué mostraron ADEPT y Seattle sobre la plasticidad?</w:t>
      </w:r>
    </w:p>
    <w:p>
      <w:pPr>
        <w:pStyle w:val="Compact"/>
        <w:numPr>
          <w:ilvl w:val="0"/>
          <w:numId w:val="1002"/>
        </w:numPr>
      </w:pPr>
      <w:r>
        <w:t xml:space="preserve">Diferenciá Sternberg y Gardner.</w:t>
      </w:r>
    </w:p>
    <w:p>
      <w:pPr>
        <w:pStyle w:val="Compact"/>
        <w:numPr>
          <w:ilvl w:val="0"/>
          <w:numId w:val="1002"/>
        </w:numPr>
      </w:pPr>
      <w:r>
        <w:t xml:space="preserve">¿Qué es el pensamiento posformal?</w:t>
      </w:r>
    </w:p>
    <w:p>
      <w:pPr>
        <w:pStyle w:val="Compact"/>
        <w:numPr>
          <w:ilvl w:val="0"/>
          <w:numId w:val="1002"/>
        </w:numPr>
      </w:pPr>
      <w:r>
        <w:t xml:space="preserve">Enfoques de sabiduría: Erikson, Clayton, Baltes, Labouvie-Vief.</w:t>
      </w:r>
    </w:p>
    <w:p>
      <w:pPr>
        <w:pStyle w:val="Compact"/>
        <w:numPr>
          <w:ilvl w:val="0"/>
          <w:numId w:val="1002"/>
        </w:numPr>
      </w:pPr>
      <w:r>
        <w:t xml:space="preserve">Niveles de Kohlberg y la crítica de Gilligan.</w:t>
      </w:r>
    </w:p>
    <w:bookmarkEnd w:id="16"/>
    <w:bookmarkEnd w:id="17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C18 — Inteligencia · Ficha de repaso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2026-10-08T22:29:14Z</dcterms:created>
  <dcterms:modified xsi:type="dcterms:W3CDTF">2026-10-08T22:29:14Z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