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fe4753f34269e95649e7aa60150ab2094a4749"/>
    <w:p>
      <w:pPr>
        <w:pStyle w:val="Heading1"/>
      </w:pPr>
      <w:r>
        <w:t xml:space="preserve">C19 — Educación, trabajo, ocio y jubilación · Ficha de repaso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vida se dividía por edades (estudiar, trabajar, jubilarse), pero esa estructura ya no encaja con una vida más larga: se perfila una</w:t>
      </w:r>
      <w:r>
        <w:t xml:space="preserve"> </w:t>
      </w:r>
      <w:r>
        <w:rPr>
          <w:b/>
          <w:bCs/>
        </w:rPr>
        <w:t xml:space="preserve">integración de edades</w:t>
      </w:r>
      <w:r>
        <w:t xml:space="preserve">. El trabajo es central para la identidad, la educación se prolonga toda la vida y la jubilación pasó de evento a</w:t>
      </w:r>
      <w:r>
        <w:t xml:space="preserve"> </w:t>
      </w:r>
      <w:r>
        <w:rPr>
          <w:b/>
          <w:bCs/>
        </w:rPr>
        <w:t xml:space="preserve">proceso</w:t>
      </w:r>
      <w:r>
        <w:t xml:space="preserve"> </w:t>
      </w:r>
      <w:r>
        <w:t xml:space="preserve">de autogestión, cuyo bienestar depende del control sobre la decisión, el dinero, la salud, el apoyo social y el autoconcepto (Papalia et al., 2009b, pp. 271-272, 293, 305-310).</w:t>
      </w:r>
    </w:p>
    <w:p>
      <w:pPr>
        <w:pStyle w:val="BodyText"/>
      </w:pPr>
      <w:r>
        <w:drawing>
          <wp:inline>
            <wp:extent cx="5759999" cy="2821224"/>
            <wp:effectExtent b="0" l="0" r="0" t="0"/>
            <wp:docPr descr="Diagrama de la guía" title="" id="10" name="Picture"/>
            <a:graphic>
              <a:graphicData uri="http://schemas.openxmlformats.org/drawingml/2006/picture">
                <pic:pic>
                  <pic:nvPicPr>
                    <pic:cNvPr descr="C:/Users/Fmendezcasariego/OneDrive/Carpetas/Educación/Universidad/Favaloro/Psicología/2do%20Año/Psicología%20Evolutiva/3_Guias_de_Estudio/_media/C19_EducacionTrabajoOcioYJubilacion_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21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esqueletos-de-respuesta"/>
    <w:p>
      <w:pPr>
        <w:pStyle w:val="Heading2"/>
      </w:pPr>
      <w:r>
        <w:t xml:space="preserve">Esqueletos de respuesta</w:t>
      </w:r>
    </w:p>
    <w:p>
      <w:pPr>
        <w:pStyle w:val="FirstParagraph"/>
      </w:pPr>
      <w:r>
        <w:rPr>
          <w:b/>
          <w:bCs/>
        </w:rPr>
        <w:t xml:space="preserve">P1. Estructura diferenciada vs. integrada.</w:t>
      </w:r>
      <w:r>
        <w:t xml:space="preserve"> </w:t>
      </w:r>
      <w:r>
        <w:t xml:space="preserve">1) Diferenciada: educación (jóvenes), trabajo (adultos), ocio/jubilación (ancianos) (p. 271). 2) Críticas de Riley (1994): casi un tercio de la vida adulta en retiro, capacidades desaprovechadas (p. 271). 3) Integrada: educación, trabajo y ocio a lo largo de la vida (p. 272). 4) Ejemplos: universitarios que trabajan, jubilados que estudian.</w:t>
      </w:r>
    </w:p>
    <w:p>
      <w:pPr>
        <w:pStyle w:val="BodyText"/>
      </w:pPr>
      <w:r>
        <w:rPr>
          <w:b/>
          <w:bCs/>
        </w:rPr>
        <w:t xml:space="preserve">P2. Educación en la adultez.</w:t>
      </w:r>
      <w:r>
        <w:t xml:space="preserve"> </w:t>
      </w:r>
      <w:r>
        <w:t xml:space="preserve">Estudiantes no tradicionales (más mujeres, adultos que trabajan y tienen hijos) (p. 273); cinco metas de Willis (1985) (pp. 275-276); programas para mayores (p. 274); analfabetismo adulto y funcional (p. 278).</w:t>
      </w:r>
    </w:p>
    <w:p>
      <w:pPr>
        <w:pStyle w:val="BodyText"/>
      </w:pPr>
      <w:r>
        <w:rPr>
          <w:b/>
          <w:bCs/>
        </w:rPr>
        <w:t xml:space="preserve">P3. Trabajo y elección de carrera.</w:t>
      </w:r>
      <w:r>
        <w:t xml:space="preserve"> </w:t>
      </w:r>
      <w:r>
        <w:t xml:space="preserve">Términos (empleo, ocupación, vocación, profesión, carrera) (p. 279); Parsons (rasgos), Holland (seis tipos de personalidad), Super (ocho etapas ligadas al autoconcepto) (pp. 279-282); críticas: ignoran contexto, cultura y género; identidad vocacional y adaptabilidad (pp. 281-283).</w:t>
      </w:r>
    </w:p>
    <w:p>
      <w:pPr>
        <w:pStyle w:val="BodyText"/>
      </w:pPr>
      <w:r>
        <w:rPr>
          <w:b/>
          <w:bCs/>
        </w:rPr>
        <w:t xml:space="preserve">P4. Trabajo y ocio: cuatro hipótesis.</w:t>
      </w:r>
      <w:r>
        <w:t xml:space="preserve"> </w:t>
      </w:r>
      <w:r>
        <w:t xml:space="preserve">Desbordamiento (Kohn), compensación (Wilensky), provisión-agotamiento (Staines), segmentación (Dubin); la complejidad del trabajo predice el nivel intelectual del ocio (Miller y Kohn, 1983) (p. 292).</w:t>
      </w:r>
    </w:p>
    <w:p>
      <w:pPr>
        <w:pStyle w:val="BodyText"/>
      </w:pPr>
      <w:r>
        <w:rPr>
          <w:b/>
          <w:bCs/>
        </w:rPr>
        <w:t xml:space="preserve">P5. Jubilación.</w:t>
      </w:r>
      <w:r>
        <w:t xml:space="preserve"> </w:t>
      </w:r>
      <w:r>
        <w:t xml:space="preserve">Idea reciente (seguridad social, 1935); hoy proceso de autogestión; se jubilan más por lo financiero que por la salud; bienestar según control de la decisión, salud, apoyo social (convoy, selectividad) y autoconcepto (pp. 292-306).</w:t>
      </w:r>
    </w:p>
    <w:p>
      <w:pPr>
        <w:pStyle w:val="BodyText"/>
      </w:pPr>
      <w:r>
        <w:rPr>
          <w:b/>
          <w:bCs/>
        </w:rPr>
        <w:t xml:space="preserve">P6. Estrés y desempleo.</w:t>
      </w:r>
      <w:r>
        <w:t xml:space="preserve"> </w:t>
      </w:r>
      <w:r>
        <w:t xml:space="preserve">Estrés laboral,</w:t>
      </w:r>
      <w:r>
        <w:t xml:space="preserve"> </w:t>
      </w:r>
      <w:r>
        <w:rPr>
          <w:i/>
          <w:iCs/>
        </w:rPr>
        <w:t xml:space="preserve">burnout</w:t>
      </w:r>
      <w:r>
        <w:t xml:space="preserve"> </w:t>
      </w:r>
      <w:r>
        <w:t xml:space="preserve">y desempleo afectan la salud y la identidad (pp. 284-285, 288-290).</w:t>
      </w:r>
    </w:p>
    <w:bookmarkEnd w:id="12"/>
    <w:bookmarkStart w:id="13" w:name="no-confundir"/>
    <w:p>
      <w:pPr>
        <w:pStyle w:val="Heading2"/>
      </w:pPr>
      <w:r>
        <w:t xml:space="preserve">No confundir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Estructura diferenciada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Integrada por edades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edad, un rol / todas las actividades en todas las edades (pp. 271-272)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Estudiante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completo tras el bachillerato / 24+ años, trabaja, dependientes (p. 273)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Ocupación / vocación / profesión / carrera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pagada / campo regular / campo elegido / requiere formación y juicio independiente / ruta dinámica (p. 279)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 vocacional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personalidad de Holland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Claridad de metas e intereses / ajuste persona-ambiente (pp. 280-281)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Desbordamiento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 (trabajo complejo → ocio complejo) / contraste (trabajo monótono → ocio estimulante) (p. 292)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Jubilación 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control / con control: más satisfacción y menos deterioro cognitivo (p. 305)</w:t>
            </w:r>
          </w:p>
        </w:tc>
      </w:tr>
    </w:tbl>
    <w:bookmarkEnd w:id="13"/>
    <w:bookmarkStart w:id="14" w:name="datos-que-conviene-saber"/>
    <w:p>
      <w:pPr>
        <w:pStyle w:val="Heading2"/>
      </w:pPr>
      <w:r>
        <w:t xml:space="preserve">Datos que conviene saber</w:t>
      </w:r>
    </w:p>
    <w:p>
      <w:pPr>
        <w:pStyle w:val="Compact"/>
        <w:numPr>
          <w:ilvl w:val="0"/>
          <w:numId w:val="1001"/>
        </w:numPr>
      </w:pPr>
      <w:r>
        <w:t xml:space="preserve">Seguridad social en EE. UU.: 1935; la ADEA elimina la jubilación obligatoria (Papalia et al., 2009b, p. 293).</w:t>
      </w:r>
    </w:p>
    <w:p>
      <w:pPr>
        <w:pStyle w:val="Compact"/>
        <w:numPr>
          <w:ilvl w:val="0"/>
          <w:numId w:val="1001"/>
        </w:numPr>
      </w:pPr>
      <w:r>
        <w:t xml:space="preserve">Quienes eligen jubilarse están más satisfechos y tienen menos deterioro cognitivo (Herzog et al., 1991, citado en Papalia et al., 2009b, p. 305).</w:t>
      </w:r>
    </w:p>
    <w:p>
      <w:pPr>
        <w:pStyle w:val="Compact"/>
        <w:numPr>
          <w:ilvl w:val="0"/>
          <w:numId w:val="1001"/>
        </w:numPr>
      </w:pPr>
      <w:r>
        <w:t xml:space="preserve">Tasa de dependencia (p. 307). Los datos argentinos de las diapositivas de la cátedra son del ▸ Complemento de la guía (sujetos a actualización).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. McGraw Hill Interamericana.</w:t>
      </w:r>
    </w:p>
    <w:bookmarkEnd w:id="15"/>
    <w:bookmarkStart w:id="16" w:name="autoevaluación-rápida"/>
    <w:p>
      <w:pPr>
        <w:pStyle w:val="Heading2"/>
      </w:pPr>
      <w:r>
        <w:t xml:space="preserve">Autoevaluación rápida</w:t>
      </w:r>
    </w:p>
    <w:p>
      <w:pPr>
        <w:pStyle w:val="Compact"/>
        <w:numPr>
          <w:ilvl w:val="0"/>
          <w:numId w:val="1002"/>
        </w:numPr>
      </w:pPr>
      <w:r>
        <w:t xml:space="preserve">¿Qué críticas hace Riley a la estructura diferenciada por edades?</w:t>
      </w:r>
    </w:p>
    <w:p>
      <w:pPr>
        <w:pStyle w:val="Compact"/>
        <w:numPr>
          <w:ilvl w:val="0"/>
          <w:numId w:val="1002"/>
        </w:numPr>
      </w:pPr>
      <w:r>
        <w:t xml:space="preserve">¿Quiénes son los estudiantes no tradicionales?</w:t>
      </w:r>
    </w:p>
    <w:p>
      <w:pPr>
        <w:pStyle w:val="Compact"/>
        <w:numPr>
          <w:ilvl w:val="0"/>
          <w:numId w:val="1002"/>
        </w:numPr>
      </w:pPr>
      <w:r>
        <w:t xml:space="preserve">Describí Holland y Super; ¿qué críticas reciben?</w:t>
      </w:r>
    </w:p>
    <w:p>
      <w:pPr>
        <w:pStyle w:val="Compact"/>
        <w:numPr>
          <w:ilvl w:val="0"/>
          <w:numId w:val="1002"/>
        </w:numPr>
      </w:pPr>
      <w:r>
        <w:t xml:space="preserve">Las cuatro hipótesis trabajo-ocio con un ejemplo cada una.</w:t>
      </w:r>
    </w:p>
    <w:p>
      <w:pPr>
        <w:pStyle w:val="Compact"/>
        <w:numPr>
          <w:ilvl w:val="0"/>
          <w:numId w:val="1002"/>
        </w:numPr>
      </w:pPr>
      <w:r>
        <w:t xml:space="preserve">¿Por qué la jubilación pasó de evento a proceso?</w:t>
      </w:r>
    </w:p>
    <w:p>
      <w:pPr>
        <w:pStyle w:val="Compact"/>
        <w:numPr>
          <w:ilvl w:val="0"/>
          <w:numId w:val="1002"/>
        </w:numPr>
      </w:pPr>
      <w:r>
        <w:t xml:space="preserve">¿Qué factores determinan el bienestar en la jubilación?</w:t>
      </w:r>
    </w:p>
    <w:bookmarkEnd w:id="16"/>
    <w:bookmarkEnd w:id="17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C19 — Educación, trabajo, ocio y jubilación · Ficha de repaso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2026-10-08T22:29:16Z</dcterms:created>
  <dcterms:modified xsi:type="dcterms:W3CDTF">2026-10-08T22:29:16Z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