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05420aa5d0d0eb51aa40cf69f7783b4610605f"/>
    <w:p>
      <w:pPr>
        <w:pStyle w:val="Heading1"/>
      </w:pPr>
      <w:r>
        <w:t xml:space="preserve">C20 — Intimidad y relaciones familiares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intimidad es la tarea central de la adultez joven (Erikson) y se expresa en la amistad, el amor y la sexualidad; los estilos de vida (soltería, cohabitación, matrimonio, divorcio, segundas nupcias) y los lazos familiares cambian a lo largo de la adultez. Con la edad se reduce el tamaño de la red pero se</w:t>
      </w:r>
      <w:r>
        <w:t xml:space="preserve"> </w:t>
      </w:r>
      <w:r>
        <w:rPr>
          <w:b/>
          <w:bCs/>
        </w:rPr>
        <w:t xml:space="preserve">conserva la calidad del apoyo</w:t>
      </w:r>
      <w:r>
        <w:t xml:space="preserve"> </w:t>
      </w:r>
      <w:r>
        <w:t xml:space="preserve">(convoy, selectividad socioemocional). La familia es una red intergeneracional de</w:t>
      </w:r>
      <w:r>
        <w:t xml:space="preserve"> </w:t>
      </w:r>
      <w:r>
        <w:rPr>
          <w:b/>
          <w:bCs/>
        </w:rPr>
        <w:t xml:space="preserve">ayuda mutua</w:t>
      </w:r>
      <w:r>
        <w:t xml:space="preserve"> </w:t>
      </w:r>
      <w:r>
        <w:t xml:space="preserve">que se reorganiza en cada transición: nido vacío, cuidado de los padres, abuelazgo (Papalia et al., 2009b, pp. 313-315, 349-353, 357-367, 391).</w:t>
      </w:r>
    </w:p>
    <w:p>
      <w:pPr>
        <w:pStyle w:val="BodyText"/>
      </w:pPr>
      <w:r>
        <w:drawing>
          <wp:inline>
            <wp:extent cx="5759999" cy="984489"/>
            <wp:effectExtent b="0" l="0" r="0" t="0"/>
            <wp:docPr descr="Diagrama de la guía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20_IntimidadYRelacionesFamiliares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98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Convoy y selectividad.</w:t>
      </w:r>
      <w:r>
        <w:t xml:space="preserve"> </w:t>
      </w:r>
      <w:r>
        <w:t xml:space="preserve">Se reduce el tamaño de la red pero no la calidad. Convoy (Kahn y Antonucci, 1980): los círculos exteriores se pierden, el interno es estable (p. 314). Selectividad (Carstensen): al percibir poco tiempo se priorizan las necesidades emocionales (pp. 314-315). Ejemplo: el anciano elige estar con alguien conocido. La limitación de la red es adaptativa.</w:t>
      </w:r>
    </w:p>
    <w:p>
      <w:pPr>
        <w:pStyle w:val="BodyText"/>
      </w:pPr>
      <w:r>
        <w:rPr>
          <w:b/>
          <w:bCs/>
        </w:rPr>
        <w:t xml:space="preserve">P2. Amor y elección de pareja.</w:t>
      </w:r>
      <w:r>
        <w:t xml:space="preserve"> </w:t>
      </w:r>
      <w:r>
        <w:t xml:space="preserve">Sternberg: intimidad, pasión, compromiso; ocho combinaciones (tabla 9.1) (pp. 316-317). Emparejamiento selectivo e hipótesis de emparejamiento (p. 318). Los opuestos no se atraen como regla.</w:t>
      </w:r>
    </w:p>
    <w:p>
      <w:pPr>
        <w:pStyle w:val="BodyText"/>
      </w:pPr>
      <w:r>
        <w:rPr>
          <w:b/>
          <w:bCs/>
        </w:rPr>
        <w:t xml:space="preserve">P3. Sexualidad.</w:t>
      </w:r>
      <w:r>
        <w:t xml:space="preserve"> </w:t>
      </w:r>
      <w:r>
        <w:t xml:space="preserve">Orientación sexual (no es una elección consciente; base biológica probable) (pp. 318-319); tres visiones de actitudes (reproductiva, recreativa, relacional) (p. 320); doble estándar cuestionado; el SIDA cambió el comportamiento (pp. 321-322).</w:t>
      </w:r>
    </w:p>
    <w:p>
      <w:pPr>
        <w:pStyle w:val="BodyText"/>
      </w:pPr>
      <w:r>
        <w:rPr>
          <w:b/>
          <w:bCs/>
        </w:rPr>
        <w:t xml:space="preserve">P4. Estilos de vida y matrimonio.</w:t>
      </w:r>
      <w:r>
        <w:t xml:space="preserve"> </w:t>
      </w:r>
      <w:r>
        <w:t xml:space="preserve">Las normas dejaron de exigir casarse, permanecer casado o tener hijos; diversidad de estilos (pp. 322-338). Qué protege: compromiso, comunicación, «pelear de manera justa», apoyo mutuo (pp. 338-339). Predictores de divorcio: casarse joven, hijastros, padres divorciados, bajo nivel educativo (tabla 9.2) (p. 334).</w:t>
      </w:r>
    </w:p>
    <w:p>
      <w:pPr>
        <w:pStyle w:val="BodyText"/>
      </w:pPr>
      <w:r>
        <w:rPr>
          <w:b/>
          <w:bCs/>
        </w:rPr>
        <w:t xml:space="preserve">P5. Nido vacío y satisfacción marital.</w:t>
      </w:r>
      <w:r>
        <w:t xml:space="preserve"> </w:t>
      </w:r>
      <w:r>
        <w:t xml:space="preserve">El nido vacío es el paso a otro tipo de relación con los hijos, a menudo liberador (p. 349). La satisfacción marital sigue una curva en U: alta al inicio, mínima en la adultez media tardía, sube en la tardía (pp. 350-352).</w:t>
      </w:r>
    </w:p>
    <w:p>
      <w:pPr>
        <w:pStyle w:val="BodyText"/>
      </w:pPr>
      <w:r>
        <w:rPr>
          <w:b/>
          <w:bCs/>
        </w:rPr>
        <w:t xml:space="preserve">P6. Lazos de parentesco.</w:t>
      </w:r>
      <w:r>
        <w:t xml:space="preserve"> </w:t>
      </w:r>
      <w:r>
        <w:t xml:space="preserve">Adulto joven negocia autonomía (seis patrones) (pp. 360-361); hijos dan cada vez más apoyo a padres ancianos; las hijas son cuidadoras principales (pp. 362-363); los hijos ponderan más obligaciones que los padres (tabla 10.1) (pp. 363-364); hermanos en «reloj de arena» (pp. 364-366).</w:t>
      </w:r>
    </w:p>
    <w:p>
      <w:pPr>
        <w:pStyle w:val="BodyText"/>
      </w:pPr>
      <w:r>
        <w:rPr>
          <w:b/>
          <w:bCs/>
        </w:rPr>
        <w:t xml:space="preserve">P7. Alojamiento y cuidado.</w:t>
      </w:r>
      <w:r>
        <w:t xml:space="preserve"> </w:t>
      </w:r>
      <w:r>
        <w:t xml:space="preserve">~95,5 % de los ancianos vive en la comunidad; 4,5 % institucionalizado (2000); cuidado informal, hijas,</w:t>
      </w:r>
      <w:r>
        <w:t xml:space="preserve"> </w:t>
      </w:r>
      <w:r>
        <w:rPr>
          <w:i/>
          <w:iCs/>
        </w:rPr>
        <w:t xml:space="preserve">burnout</w:t>
      </w:r>
      <w:r>
        <w:t xml:space="preserve"> </w:t>
      </w:r>
      <w:r>
        <w:t xml:space="preserve">del cuidador, generación sándwich; apoyos comunitarios (pp. 375-390).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Selectividad socioemocional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Quiénes nos acompañan / por qué elegimos (pp. 314-315)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romántico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compañía / fatuo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Intimidad + pasión / intimidad + compromiso / pasión + compromiso (p. 317)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Emparejamiento selectivo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Hipótesis de emparejamiento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similares / similar nivel de atractivo (p. 318)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Orientación sexual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sexual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Sentimientos y autoconcepto / lo que se hace (p. 318)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Nido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Puertas giratorias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Partida de los hijos / hijos adultos que regresan (p. 373)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Tareas de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 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a quien perdió independencia / apoyo emocional y consejo (pp. 363, 382)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Burnout</w:t>
            </w:r>
            <w:r>
              <w:t xml:space="preserve"> </w:t>
            </w:r>
            <w:r>
              <w:t xml:space="preserve">laboral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Agotamiento del cuidador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8 / cansancio de quien cuida a un familiar (p. 383)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Hogares con pareja casada e hijos: 40 % (1970) → 24 % (2000); personas que viven solas: 17 → 26 % (Papalia et al., 2009b, p. 322).</w:t>
      </w:r>
    </w:p>
    <w:p>
      <w:pPr>
        <w:pStyle w:val="Compact"/>
        <w:numPr>
          <w:ilvl w:val="0"/>
          <w:numId w:val="1001"/>
        </w:numPr>
      </w:pPr>
      <w:r>
        <w:t xml:space="preserve">Nido vacío y curva en U de la satisfacción marital (pp. 349-352).</w:t>
      </w:r>
    </w:p>
    <w:p>
      <w:pPr>
        <w:pStyle w:val="Compact"/>
        <w:numPr>
          <w:ilvl w:val="0"/>
          <w:numId w:val="1001"/>
        </w:numPr>
      </w:pPr>
      <w:r>
        <w:t xml:space="preserve">Factores protectores del envejecimiento satisfactorio (apuntes de clase): ver ▸ Complemento en la guía.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¿Por qué la intimidad es la tarea de la adultez joven?</w:t>
      </w:r>
    </w:p>
    <w:p>
      <w:pPr>
        <w:pStyle w:val="Compact"/>
        <w:numPr>
          <w:ilvl w:val="0"/>
          <w:numId w:val="1002"/>
        </w:numPr>
      </w:pPr>
      <w:r>
        <w:t xml:space="preserve">Explicá convoy y selectividad socioemocional.</w:t>
      </w:r>
    </w:p>
    <w:p>
      <w:pPr>
        <w:pStyle w:val="Compact"/>
        <w:numPr>
          <w:ilvl w:val="0"/>
          <w:numId w:val="1002"/>
        </w:numPr>
      </w:pPr>
      <w:r>
        <w:t xml:space="preserve">Los tres componentes del amor de Sternberg y tres combinaciones.</w:t>
      </w:r>
    </w:p>
    <w:p>
      <w:pPr>
        <w:pStyle w:val="Compact"/>
        <w:numPr>
          <w:ilvl w:val="0"/>
          <w:numId w:val="1002"/>
        </w:numPr>
      </w:pPr>
      <w:r>
        <w:t xml:space="preserve">¿Qué protege el matrimonio y qué predice el divorcio?</w:t>
      </w:r>
    </w:p>
    <w:p>
      <w:pPr>
        <w:pStyle w:val="Compact"/>
        <w:numPr>
          <w:ilvl w:val="0"/>
          <w:numId w:val="1002"/>
        </w:numPr>
      </w:pPr>
      <w:r>
        <w:t xml:space="preserve">Nido vacío y curva en U.</w:t>
      </w:r>
    </w:p>
    <w:p>
      <w:pPr>
        <w:pStyle w:val="Compact"/>
        <w:numPr>
          <w:ilvl w:val="0"/>
          <w:numId w:val="1002"/>
        </w:numPr>
      </w:pPr>
      <w:r>
        <w:t xml:space="preserve">Apoyo vs. cuidado entre padres e hijos adultos.</w:t>
      </w:r>
    </w:p>
    <w:p>
      <w:pPr>
        <w:pStyle w:val="Compact"/>
        <w:numPr>
          <w:ilvl w:val="0"/>
          <w:numId w:val="1002"/>
        </w:numPr>
      </w:pPr>
      <w:r>
        <w:t xml:space="preserve">¿Qué es la generación sándwich?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C20 — Intimidad y relaciones familiares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2026-10-08T22:29:18Z</dcterms:created>
  <dcterms:modified xsi:type="dcterms:W3CDTF">2026-10-08T22:29:18Z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