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a8af229d5e6abf4075c51034949148954e0ce40"/>
    <w:p>
      <w:pPr>
        <w:pStyle w:val="Heading1"/>
      </w:pPr>
      <w:r>
        <w:t xml:space="preserve">C21 — Personalidad en la adultez · Versión de cursada</w:t>
      </w:r>
    </w:p>
    <w:p>
      <w:pPr>
        <w:pStyle w:val="RecuadroFuente"/>
      </w:pPr>
      <w:r>
        <w:rPr>
          <w:b/>
          <w:bCs/>
        </w:rPr>
        <w:t xml:space="preserve">Fuentes:</w:t>
      </w:r>
    </w:p>
    <w:p>
      <w:pPr>
        <w:pStyle w:val="RecuadroFuente"/>
      </w:pPr>
      <w:r>
        <w:t xml:space="preserve">• Papalia, D. E., Sterns, H. L., Feldman, R. D., &amp; Camp, C. J. (2009b).</w:t>
      </w:r>
      <w:r>
        <w:t xml:space="preserve"> </w:t>
      </w:r>
      <w:r>
        <w:rPr>
          <w:i/>
          <w:iCs/>
        </w:rPr>
        <w:t xml:space="preserve">Desarrollo del adulto y vejez</w:t>
      </w:r>
      <w:r>
        <w:t xml:space="preserve"> </w:t>
      </w:r>
      <w:r>
        <w:t xml:space="preserve">(caps. 11 y 6). McGraw Hill Interamericana.</w:t>
      </w:r>
    </w:p>
    <w:p>
      <w:pPr>
        <w:pStyle w:val="RecuadroFuente"/>
      </w:pPr>
      <w:r>
        <w:t xml:space="preserve">• Cátedra de Psicología Evolutiva. (2026a).</w:t>
      </w:r>
      <w:r>
        <w:t xml:space="preserve"> </w:t>
      </w:r>
      <w:r>
        <w:rPr>
          <w:i/>
          <w:iCs/>
        </w:rPr>
        <w:t xml:space="preserve">Desarrollo cognitivo en la adultez</w:t>
      </w:r>
      <w:r>
        <w:t xml:space="preserve"> </w:t>
      </w:r>
      <w:r>
        <w:t xml:space="preserve">[Diapositivas de clase]. Universidad Favaloro. (Solo para la creatividad, §4.)</w:t>
      </w:r>
    </w:p>
    <w:p>
      <w:pPr>
        <w:pStyle w:val="RecuadroAtencion"/>
      </w:pPr>
      <w:r>
        <w:rPr>
          <w:b/>
          <w:bCs/>
        </w:rPr>
        <w:t xml:space="preserve">Aviso sobre las fuentes:</w:t>
      </w:r>
      <w:r>
        <w:t xml:space="preserve"> </w:t>
      </w:r>
      <w:r>
        <w:t xml:space="preserve">esta es la</w:t>
      </w:r>
      <w:r>
        <w:t xml:space="preserve"> </w:t>
      </w:r>
      <w:r>
        <w:rPr>
          <w:b/>
          <w:bCs/>
        </w:rPr>
        <w:t xml:space="preserve">versión de cursada</w:t>
      </w:r>
      <w:r>
        <w:t xml:space="preserve">, pero esta clase (13/10)</w:t>
      </w:r>
      <w:r>
        <w:t xml:space="preserve"> </w:t>
      </w:r>
      <w:r>
        <w:rPr>
          <w:b/>
          <w:bCs/>
        </w:rPr>
        <w:t xml:space="preserve">no tiene diapositivas ni apuntes</w:t>
      </w:r>
      <w:r>
        <w:t xml:space="preserve"> </w:t>
      </w:r>
      <w:r>
        <w:t xml:space="preserve">en la carpeta, así que el recorte sigue solo el programa de la unidad 10: «desarrollo y estudio de la personalidad; teorías de la personalidad; cambios en la personalidad; desarrollo de la creatividad». Cuando consigas la presentación, ajustá el énfasis. Quedan afuera, y están en</w:t>
      </w:r>
      <w:r>
        <w:t xml:space="preserve"> </w:t>
      </w:r>
      <w:r>
        <w:rPr>
          <w:rStyle w:val="VerbatimChar"/>
        </w:rPr>
        <w:t xml:space="preserve">C21_Personalidad_Guia.md</w:t>
      </w:r>
      <w:r>
        <w:t xml:space="preserve">: las facetas de cada uno de los cinco factores, el detalle de los métodos de medición, las teorías del desarrollo de la identidad de género y el detalle de las tareas de Vaillant y las fases de Levinson.</w:t>
      </w:r>
    </w:p>
    <w:p>
      <w:pPr>
        <w:pStyle w:val="RecuadroIdea"/>
      </w:pPr>
      <w:r>
        <w:rPr>
          <w:b/>
          <w:bCs/>
        </w:rPr>
        <w:t xml:space="preserve">Idea-fuerza:</w:t>
      </w:r>
      <w:r>
        <w:t xml:space="preserve"> </w:t>
      </w:r>
      <w:r>
        <w:t xml:space="preserve">La personalidad adulta combina</w:t>
      </w:r>
      <w:r>
        <w:t xml:space="preserve"> </w:t>
      </w:r>
      <w:r>
        <w:rPr>
          <w:b/>
          <w:bCs/>
        </w:rPr>
        <w:t xml:space="preserve">estabilidad y cambio</w:t>
      </w:r>
      <w:r>
        <w:t xml:space="preserve">. Los</w:t>
      </w:r>
      <w:r>
        <w:t xml:space="preserve"> </w:t>
      </w:r>
      <w:r>
        <w:rPr>
          <w:b/>
          <w:bCs/>
        </w:rPr>
        <w:t xml:space="preserve">rasgos</w:t>
      </w:r>
      <w:r>
        <w:t xml:space="preserve"> </w:t>
      </w:r>
      <w:r>
        <w:t xml:space="preserve">(Costa y McCrae) son muy estables después de los 30; el</w:t>
      </w:r>
      <w:r>
        <w:t xml:space="preserve"> </w:t>
      </w:r>
      <w:r>
        <w:rPr>
          <w:b/>
          <w:bCs/>
        </w:rPr>
        <w:t xml:space="preserve">autoconcepto</w:t>
      </w:r>
      <w:r>
        <w:t xml:space="preserve"> </w:t>
      </w:r>
      <w:r>
        <w:t xml:space="preserve">(Whitbourne) equilibra asimilación y acomodación de la identidad; las</w:t>
      </w:r>
      <w:r>
        <w:t xml:space="preserve"> </w:t>
      </w:r>
      <w:r>
        <w:rPr>
          <w:b/>
          <w:bCs/>
        </w:rPr>
        <w:t xml:space="preserve">etapas</w:t>
      </w:r>
      <w:r>
        <w:t xml:space="preserve"> </w:t>
      </w:r>
      <w:r>
        <w:t xml:space="preserve">(Erikson, Vaillant, Levinson) describen cambios normativos con crisis; y los</w:t>
      </w:r>
      <w:r>
        <w:t xml:space="preserve"> </w:t>
      </w:r>
      <w:r>
        <w:rPr>
          <w:b/>
          <w:bCs/>
        </w:rPr>
        <w:t xml:space="preserve">acontecimientos de la vida</w:t>
      </w:r>
      <w:r>
        <w:t xml:space="preserve"> </w:t>
      </w:r>
      <w:r>
        <w:t xml:space="preserve">(Neugarten) importan según el momento en que ocurren. Su función central es la</w:t>
      </w:r>
      <w:r>
        <w:t xml:space="preserve"> </w:t>
      </w:r>
      <w:r>
        <w:rPr>
          <w:b/>
          <w:bCs/>
        </w:rPr>
        <w:t xml:space="preserve">adaptación</w:t>
      </w:r>
      <w:r>
        <w:t xml:space="preserve"> </w:t>
      </w:r>
      <w:r>
        <w:t xml:space="preserve">(Papalia et al., 2009b, pp. 395, 399-400, 428).</w:t>
      </w:r>
    </w:p>
    <w:bookmarkStart w:id="9" w:name="mapa-qué-pide-el-programa"/>
    <w:p>
      <w:pPr>
        <w:pStyle w:val="Heading2"/>
      </w:pPr>
      <w:r>
        <w:t xml:space="preserve">Mapa: qué pide el programa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Tema</w:t>
            </w:r>
          </w:p>
        </w:tc>
        <w:tc>
          <w:tcPr/>
          <w:p>
            <w:pPr>
              <w:pStyle w:val="Compact"/>
              <w:jc w:val="left"/>
            </w:pPr>
            <w:r>
              <w:t xml:space="preserve">Programa</w:t>
            </w:r>
          </w:p>
        </w:tc>
        <w:tc>
          <w:tcPr/>
          <w:p>
            <w:pPr>
              <w:pStyle w:val="Compact"/>
              <w:jc w:val="left"/>
            </w:pPr>
            <w:r>
              <w:t xml:space="preserve">Clase</w:t>
            </w:r>
          </w:p>
        </w:tc>
        <w:tc>
          <w:tcPr/>
          <w:p>
            <w:pPr>
              <w:pStyle w:val="Compact"/>
              <w:jc w:val="left"/>
            </w:pPr>
            <w:r>
              <w:t xml:space="preserve">Sección</w:t>
            </w:r>
          </w:p>
        </w:tc>
      </w:tr>
      <w:tr>
        <w:tc>
          <w:tcPr/>
          <w:p>
            <w:pPr>
              <w:pStyle w:val="Compact"/>
              <w:jc w:val="left"/>
            </w:pPr>
            <w:r>
              <w:t xml:space="preserve">Desarrollo y estudio de la personalidad (definición, medición, orígenes)</w:t>
            </w:r>
          </w:p>
        </w:tc>
        <w:tc>
          <w:tcPr/>
          <w:p>
            <w:pPr>
              <w:pStyle w:val="Compact"/>
              <w:jc w:val="left"/>
            </w:pPr>
            <w:r>
              <w:t xml:space="preserve">✔</w:t>
            </w:r>
          </w:p>
        </w:tc>
        <w:tc>
          <w:tcPr/>
          <w:p>
            <w:pPr>
              <w:pStyle w:val="Compact"/>
              <w:jc w:val="left"/>
            </w:pPr>
            <w:r>
              <w:t xml:space="preserve">sin datos</w:t>
            </w:r>
          </w:p>
        </w:tc>
        <w:tc>
          <w:tcPr/>
          <w:p>
            <w:pPr>
              <w:pStyle w:val="Compact"/>
              <w:jc w:val="left"/>
            </w:pPr>
            <w:r>
              <w:t xml:space="preserve">§1</w:t>
            </w:r>
          </w:p>
        </w:tc>
      </w:tr>
      <w:tr>
        <w:tc>
          <w:tcPr/>
          <w:p>
            <w:pPr>
              <w:pStyle w:val="Compact"/>
              <w:jc w:val="left"/>
            </w:pPr>
            <w:r>
              <w:t xml:space="preserve">Teorías de la personalidad: rasgos, autoconcepto, etapas, acontecimientos</w:t>
            </w:r>
          </w:p>
        </w:tc>
        <w:tc>
          <w:tcPr/>
          <w:p>
            <w:pPr>
              <w:pStyle w:val="Compact"/>
              <w:jc w:val="left"/>
            </w:pPr>
            <w:r>
              <w:t xml:space="preserve">✔</w:t>
            </w:r>
          </w:p>
        </w:tc>
        <w:tc>
          <w:tcPr/>
          <w:p>
            <w:pPr>
              <w:pStyle w:val="Compact"/>
              <w:jc w:val="left"/>
            </w:pPr>
            <w:r>
              <w:t xml:space="preserve">sin datos</w:t>
            </w:r>
          </w:p>
        </w:tc>
        <w:tc>
          <w:tcPr/>
          <w:p>
            <w:pPr>
              <w:pStyle w:val="Compact"/>
              <w:jc w:val="left"/>
            </w:pPr>
            <w:r>
              <w:t xml:space="preserve">§2</w:t>
            </w:r>
          </w:p>
        </w:tc>
      </w:tr>
      <w:tr>
        <w:tc>
          <w:tcPr/>
          <w:p>
            <w:pPr>
              <w:pStyle w:val="Compact"/>
              <w:jc w:val="left"/>
            </w:pPr>
            <w:r>
              <w:t xml:space="preserve">Cambios en la personalidad (estabilidad y cambio; género; estudios Mills)</w:t>
            </w:r>
          </w:p>
        </w:tc>
        <w:tc>
          <w:tcPr/>
          <w:p>
            <w:pPr>
              <w:pStyle w:val="Compact"/>
              <w:jc w:val="left"/>
            </w:pPr>
            <w:r>
              <w:t xml:space="preserve">✔</w:t>
            </w:r>
          </w:p>
        </w:tc>
        <w:tc>
          <w:tcPr/>
          <w:p>
            <w:pPr>
              <w:pStyle w:val="Compact"/>
              <w:jc w:val="left"/>
            </w:pPr>
            <w:r>
              <w:t xml:space="preserve">sin datos</w:t>
            </w:r>
          </w:p>
        </w:tc>
        <w:tc>
          <w:tcPr/>
          <w:p>
            <w:pPr>
              <w:pStyle w:val="Compact"/>
              <w:jc w:val="left"/>
            </w:pPr>
            <w:r>
              <w:t xml:space="preserve">§3</w:t>
            </w:r>
          </w:p>
        </w:tc>
      </w:tr>
      <w:tr>
        <w:tc>
          <w:tcPr/>
          <w:p>
            <w:pPr>
              <w:pStyle w:val="Compact"/>
              <w:jc w:val="left"/>
            </w:pPr>
            <w:r>
              <w:t xml:space="preserve">Desarrollo de la creatividad</w:t>
            </w:r>
          </w:p>
        </w:tc>
        <w:tc>
          <w:tcPr/>
          <w:p>
            <w:pPr>
              <w:pStyle w:val="Compact"/>
              <w:jc w:val="left"/>
            </w:pPr>
            <w:r>
              <w:t xml:space="preserve">✔</w:t>
            </w:r>
          </w:p>
        </w:tc>
        <w:tc>
          <w:tcPr/>
          <w:p>
            <w:pPr>
              <w:pStyle w:val="Compact"/>
              <w:jc w:val="left"/>
            </w:pPr>
            <w:r>
              <w:t xml:space="preserve">se vio en C18</w:t>
            </w:r>
          </w:p>
        </w:tc>
        <w:tc>
          <w:tcPr/>
          <w:p>
            <w:pPr>
              <w:pStyle w:val="Compact"/>
              <w:jc w:val="left"/>
            </w:pPr>
            <w:r>
              <w:t xml:space="preserve">§4</w:t>
            </w:r>
          </w:p>
        </w:tc>
      </w:tr>
    </w:tbl>
    <w:p>
      <w:r>
        <w:pict>
          <v:rect style="width:0;height:1.5pt" o:hralign="center" o:hrstd="t" o:hr="t"/>
        </w:pict>
      </w:r>
    </w:p>
    <w:bookmarkEnd w:id="9"/>
    <w:bookmarkStart w:id="10" w:name="desarrollo-y-estudio-de-la-personalidad"/>
    <w:p>
      <w:pPr>
        <w:pStyle w:val="Heading2"/>
      </w:pPr>
      <w:r>
        <w:t xml:space="preserve">1. Desarrollo y estudio de la personalidad</w:t>
      </w:r>
    </w:p>
    <w:p>
      <w:pPr>
        <w:pStyle w:val="FirstParagraph"/>
      </w:pPr>
      <w:r>
        <w:rPr>
          <w:b/>
          <w:bCs/>
        </w:rPr>
        <w:t xml:space="preserve">Definición.</w:t>
      </w:r>
      <w:r>
        <w:t xml:space="preserve"> </w:t>
      </w:r>
      <w:r>
        <w:t xml:space="preserve">La personalidad es la forma</w:t>
      </w:r>
      <w:r>
        <w:t xml:space="preserve"> </w:t>
      </w:r>
      <w:r>
        <w:rPr>
          <w:b/>
          <w:bCs/>
        </w:rPr>
        <w:t xml:space="preserve">única y relativamente constante</w:t>
      </w:r>
      <w:r>
        <w:t xml:space="preserve"> </w:t>
      </w:r>
      <w:r>
        <w:t xml:space="preserve">de sentir, pensar y comportarse de una persona (Mischel, 1986, citado en Papalia et al., 2009b, p. 395); su función es la</w:t>
      </w:r>
      <w:r>
        <w:t xml:space="preserve"> </w:t>
      </w:r>
      <w:r>
        <w:rPr>
          <w:b/>
          <w:bCs/>
        </w:rPr>
        <w:t xml:space="preserve">adaptación</w:t>
      </w:r>
      <w:r>
        <w:t xml:space="preserve">: ajustarse a los eventos y circunstancias.</w:t>
      </w:r>
    </w:p>
    <w:p>
      <w:pPr>
        <w:pStyle w:val="BodyText"/>
      </w:pPr>
      <w:r>
        <w:rPr>
          <w:b/>
          <w:bCs/>
        </w:rPr>
        <w:t xml:space="preserve">Cómo se estudia.</w:t>
      </w:r>
      <w:r>
        <w:t xml:space="preserve"> </w:t>
      </w:r>
      <w:r>
        <w:t xml:space="preserve">Con inventarios de personalidad, la metodología Q (</w:t>
      </w:r>
      <w:r>
        <w:rPr>
          <w:i/>
          <w:iCs/>
        </w:rPr>
        <w:t xml:space="preserve">Q-sort</w:t>
      </w:r>
      <w:r>
        <w:t xml:space="preserve">: comparar el yo real con el ideal), entrevistas y autorreportes; todos tienen riesgos de sesgo (pp. 397-398).</w:t>
      </w:r>
    </w:p>
    <w:p>
      <w:pPr>
        <w:pStyle w:val="BodyText"/>
      </w:pPr>
      <w:r>
        <w:rPr>
          <w:b/>
          <w:bCs/>
        </w:rPr>
        <w:t xml:space="preserve">Orígenes.</w:t>
      </w:r>
      <w:r>
        <w:t xml:space="preserve"> </w:t>
      </w:r>
      <w:r>
        <w:t xml:space="preserve">Resulta de la interacción entre la</w:t>
      </w:r>
      <w:r>
        <w:t xml:space="preserve"> </w:t>
      </w:r>
      <w:r>
        <w:rPr>
          <w:b/>
          <w:bCs/>
        </w:rPr>
        <w:t xml:space="preserve">herencia</w:t>
      </w:r>
      <w:r>
        <w:t xml:space="preserve"> </w:t>
      </w:r>
      <w:r>
        <w:t xml:space="preserve">(el temperamento, base biológica) y la</w:t>
      </w:r>
      <w:r>
        <w:t xml:space="preserve"> </w:t>
      </w:r>
      <w:r>
        <w:rPr>
          <w:b/>
          <w:bCs/>
        </w:rPr>
        <w:t xml:space="preserve">experiencia</w:t>
      </w:r>
      <w:r>
        <w:t xml:space="preserve">; los estudios con gemelos muestran que el ambiente explica cerca de la mitad de las diferencias, y sobre todo el ambiente</w:t>
      </w:r>
      <w:r>
        <w:t xml:space="preserve"> </w:t>
      </w:r>
      <w:r>
        <w:rPr>
          <w:b/>
          <w:bCs/>
        </w:rPr>
        <w:t xml:space="preserve">no compartido</w:t>
      </w:r>
      <w:r>
        <w:t xml:space="preserve"> </w:t>
      </w:r>
      <w:r>
        <w:t xml:space="preserve">(pp. 398-399). En el</w:t>
      </w:r>
      <w:r>
        <w:t xml:space="preserve"> </w:t>
      </w:r>
      <w:r>
        <w:rPr>
          <w:b/>
          <w:bCs/>
        </w:rPr>
        <w:t xml:space="preserve">estudio Terman</w:t>
      </w:r>
      <w:r>
        <w:t xml:space="preserve">, la</w:t>
      </w:r>
      <w:r>
        <w:t xml:space="preserve"> </w:t>
      </w:r>
      <w:r>
        <w:rPr>
          <w:b/>
          <w:bCs/>
        </w:rPr>
        <w:t xml:space="preserve">meticulosidad</w:t>
      </w:r>
      <w:r>
        <w:t xml:space="preserve"> </w:t>
      </w:r>
      <w:r>
        <w:t xml:space="preserve">en la infancia predijo mejor la longevidad que el optimismo (pp. 396-397).</w:t>
      </w:r>
    </w:p>
    <w:p>
      <w:pPr>
        <w:pStyle w:val="RecuadroAtencion"/>
      </w:pPr>
      <w:r>
        <w:t xml:space="preserve">⚠</w:t>
      </w:r>
      <w:r>
        <w:t xml:space="preserve"> </w:t>
      </w:r>
      <w:r>
        <w:rPr>
          <w:b/>
          <w:bCs/>
        </w:rPr>
        <w:t xml:space="preserve">No confundir:</w:t>
      </w:r>
      <w:r>
        <w:t xml:space="preserve"> </w:t>
      </w:r>
      <w:r>
        <w:rPr>
          <w:i/>
          <w:iCs/>
        </w:rPr>
        <w:t xml:space="preserve">personalidad</w:t>
      </w:r>
      <w:r>
        <w:t xml:space="preserve"> </w:t>
      </w:r>
      <w:r>
        <w:t xml:space="preserve">(patrón de pensar, sentir y actuar, con estructura interna) con</w:t>
      </w:r>
      <w:r>
        <w:t xml:space="preserve"> </w:t>
      </w:r>
      <w:r>
        <w:rPr>
          <w:i/>
          <w:iCs/>
        </w:rPr>
        <w:t xml:space="preserve">temperamento</w:t>
      </w:r>
      <w:r>
        <w:t xml:space="preserve"> </w:t>
      </w:r>
      <w:r>
        <w:t xml:space="preserve">(disposición biológica a reaccionar emocionalmente; es parte de la personalidad) (Papalia et al., 2009b, pp. 395, 398).</w:t>
      </w:r>
    </w:p>
    <w:p>
      <w:r>
        <w:pict>
          <v:rect style="width:0;height:1.5pt" o:hralign="center" o:hrstd="t" o:hr="t"/>
        </w:pict>
      </w:r>
    </w:p>
    <w:bookmarkEnd w:id="10"/>
    <w:bookmarkStart w:id="11" w:name="X29f21a2f3766816accb697f03bc44be153a1e2b"/>
    <w:p>
      <w:pPr>
        <w:pStyle w:val="Heading2"/>
      </w:pPr>
      <w:r>
        <w:t xml:space="preserve">2. Teorías de la personalidad: ¿estabilidad o cambio?</w:t>
      </w:r>
    </w:p>
    <w:p>
      <w:pPr>
        <w:pStyle w:val="FirstParagraph"/>
      </w:pPr>
      <w:r>
        <w:t xml:space="preserve">El gran debate es si la personalidad adulta se mantiene o cambia. Cuatro tipos de modelos dan respuestas distintas (Papalia et al., 2009b, pp. 399-400):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Modelo</w:t>
            </w:r>
          </w:p>
        </w:tc>
        <w:tc>
          <w:tcPr/>
          <w:p>
            <w:pPr>
              <w:pStyle w:val="Compact"/>
              <w:jc w:val="left"/>
            </w:pPr>
            <w:r>
              <w:t xml:space="preserve">Autores</w:t>
            </w:r>
          </w:p>
        </w:tc>
        <w:tc>
          <w:tcPr/>
          <w:p>
            <w:pPr>
              <w:pStyle w:val="Compact"/>
              <w:jc w:val="left"/>
            </w:pPr>
            <w:r>
              <w:t xml:space="preserve">Qué describe</w:t>
            </w:r>
          </w:p>
        </w:tc>
        <w:tc>
          <w:tcPr/>
          <w:p>
            <w:pPr>
              <w:pStyle w:val="Compact"/>
              <w:jc w:val="left"/>
            </w:pPr>
            <w:r>
              <w:t xml:space="preserve">Estabilidad o cambio</w:t>
            </w:r>
          </w:p>
        </w:tc>
      </w:tr>
      <w:tr>
        <w:tc>
          <w:tcPr/>
          <w:p>
            <w:pPr>
              <w:pStyle w:val="Compact"/>
              <w:jc w:val="left"/>
            </w:pPr>
            <w:r>
              <w:rPr>
                <w:b/>
                <w:bCs/>
              </w:rPr>
              <w:t xml:space="preserve">Rasgos</w:t>
            </w:r>
          </w:p>
        </w:tc>
        <w:tc>
          <w:tcPr/>
          <w:p>
            <w:pPr>
              <w:pStyle w:val="Compact"/>
              <w:jc w:val="left"/>
            </w:pPr>
            <w:r>
              <w:t xml:space="preserve">Costa y McCrae</w:t>
            </w:r>
          </w:p>
        </w:tc>
        <w:tc>
          <w:tcPr/>
          <w:p>
            <w:pPr>
              <w:pStyle w:val="Compact"/>
              <w:jc w:val="left"/>
            </w:pPr>
            <w:r>
              <w:t xml:space="preserve">Cinco dimensiones de la personalidad</w:t>
            </w:r>
          </w:p>
        </w:tc>
        <w:tc>
          <w:tcPr/>
          <w:p>
            <w:pPr>
              <w:pStyle w:val="Compact"/>
              <w:jc w:val="left"/>
            </w:pPr>
            <w:r>
              <w:t xml:space="preserve">Estabilidad después de los 30</w:t>
            </w:r>
          </w:p>
        </w:tc>
      </w:tr>
      <w:tr>
        <w:tc>
          <w:tcPr/>
          <w:p>
            <w:pPr>
              <w:pStyle w:val="Compact"/>
              <w:jc w:val="left"/>
            </w:pPr>
            <w:r>
              <w:rPr>
                <w:b/>
                <w:bCs/>
              </w:rPr>
              <w:t xml:space="preserve">Autoconcepto</w:t>
            </w:r>
          </w:p>
        </w:tc>
        <w:tc>
          <w:tcPr/>
          <w:p>
            <w:pPr>
              <w:pStyle w:val="Compact"/>
              <w:jc w:val="left"/>
            </w:pPr>
            <w:r>
              <w:t xml:space="preserve">Whitbourne</w:t>
            </w:r>
          </w:p>
        </w:tc>
        <w:tc>
          <w:tcPr/>
          <w:p>
            <w:pPr>
              <w:pStyle w:val="Compact"/>
              <w:jc w:val="left"/>
            </w:pPr>
            <w:r>
              <w:t xml:space="preserve">Cómo la persona se ve a sí misma</w:t>
            </w:r>
          </w:p>
        </w:tc>
        <w:tc>
          <w:tcPr/>
          <w:p>
            <w:pPr>
              <w:pStyle w:val="Compact"/>
              <w:jc w:val="left"/>
            </w:pPr>
            <w:r>
              <w:t xml:space="preserve">Equilibrio dinámico</w:t>
            </w:r>
          </w:p>
        </w:tc>
      </w:tr>
      <w:tr>
        <w:tc>
          <w:tcPr/>
          <w:p>
            <w:pPr>
              <w:pStyle w:val="Compact"/>
              <w:jc w:val="left"/>
            </w:pPr>
            <w:r>
              <w:rPr>
                <w:b/>
                <w:bCs/>
              </w:rPr>
              <w:t xml:space="preserve">Etapas</w:t>
            </w:r>
          </w:p>
        </w:tc>
        <w:tc>
          <w:tcPr/>
          <w:p>
            <w:pPr>
              <w:pStyle w:val="Compact"/>
              <w:jc w:val="left"/>
            </w:pPr>
            <w:r>
              <w:t xml:space="preserve">Erikson, Vaillant, Levinson</w:t>
            </w:r>
          </w:p>
        </w:tc>
        <w:tc>
          <w:tcPr/>
          <w:p>
            <w:pPr>
              <w:pStyle w:val="Compact"/>
              <w:jc w:val="left"/>
            </w:pPr>
            <w:r>
              <w:t xml:space="preserve">Tareas o crisis según la edad</w:t>
            </w:r>
          </w:p>
        </w:tc>
        <w:tc>
          <w:tcPr/>
          <w:p>
            <w:pPr>
              <w:pStyle w:val="Compact"/>
              <w:jc w:val="left"/>
            </w:pPr>
            <w:r>
              <w:t xml:space="preserve">Cambio normativo</w:t>
            </w:r>
          </w:p>
        </w:tc>
      </w:tr>
      <w:tr>
        <w:tc>
          <w:tcPr/>
          <w:p>
            <w:pPr>
              <w:pStyle w:val="Compact"/>
              <w:jc w:val="left"/>
            </w:pPr>
            <w:r>
              <w:rPr>
                <w:b/>
                <w:bCs/>
              </w:rPr>
              <w:t xml:space="preserve">Acontecimientos de la vida</w:t>
            </w:r>
          </w:p>
        </w:tc>
        <w:tc>
          <w:tcPr/>
          <w:p>
            <w:pPr>
              <w:pStyle w:val="Compact"/>
              <w:jc w:val="left"/>
            </w:pPr>
            <w:r>
              <w:t xml:space="preserve">Neugarten</w:t>
            </w:r>
          </w:p>
        </w:tc>
        <w:tc>
          <w:tcPr/>
          <w:p>
            <w:pPr>
              <w:pStyle w:val="Compact"/>
              <w:jc w:val="left"/>
            </w:pPr>
            <w:r>
              <w:t xml:space="preserve">Eventos y su momento</w:t>
            </w:r>
          </w:p>
        </w:tc>
        <w:tc>
          <w:tcPr/>
          <w:p>
            <w:pPr>
              <w:pStyle w:val="Compact"/>
              <w:jc w:val="left"/>
            </w:pPr>
            <w:r>
              <w:t xml:space="preserve">Cambio por eventos, no por edad</w:t>
            </w:r>
          </w:p>
        </w:tc>
      </w:tr>
    </w:tbl>
    <w:p>
      <w:pPr>
        <w:pStyle w:val="BodyText"/>
      </w:pPr>
      <w:r>
        <w:rPr>
          <w:b/>
          <w:bCs/>
        </w:rPr>
        <w:t xml:space="preserve">Modelo de rasgos: los cinco factores</w:t>
      </w:r>
      <w:r>
        <w:t xml:space="preserve"> </w:t>
      </w:r>
      <w:r>
        <w:t xml:space="preserve">(Costa y McCrae) (pp. 401-403). Cinco dimensiones:</w:t>
      </w:r>
      <w:r>
        <w:t xml:space="preserve"> </w:t>
      </w:r>
      <w:r>
        <w:rPr>
          <w:b/>
          <w:bCs/>
        </w:rPr>
        <w:t xml:space="preserve">neuroticismo</w:t>
      </w:r>
      <w:r>
        <w:t xml:space="preserve"> </w:t>
      </w:r>
      <w:r>
        <w:t xml:space="preserve">(ansiedad, hostilidad, depresión, vulnerabilidad),</w:t>
      </w:r>
      <w:r>
        <w:t xml:space="preserve"> </w:t>
      </w:r>
      <w:r>
        <w:rPr>
          <w:b/>
          <w:bCs/>
        </w:rPr>
        <w:t xml:space="preserve">extraversión</w:t>
      </w:r>
      <w:r>
        <w:t xml:space="preserve"> </w:t>
      </w:r>
      <w:r>
        <w:t xml:space="preserve">(sociabilidad, calidez, actividad),</w:t>
      </w:r>
      <w:r>
        <w:t xml:space="preserve"> </w:t>
      </w:r>
      <w:r>
        <w:rPr>
          <w:b/>
          <w:bCs/>
        </w:rPr>
        <w:t xml:space="preserve">apertura a la experiencia</w:t>
      </w:r>
      <w:r>
        <w:t xml:space="preserve"> </w:t>
      </w:r>
      <w:r>
        <w:t xml:space="preserve">(imaginación, curiosidad, gusto por lo nuevo),</w:t>
      </w:r>
      <w:r>
        <w:t xml:space="preserve"> </w:t>
      </w:r>
      <w:r>
        <w:rPr>
          <w:b/>
          <w:bCs/>
        </w:rPr>
        <w:t xml:space="preserve">meticulosidad</w:t>
      </w:r>
      <w:r>
        <w:t xml:space="preserve"> </w:t>
      </w:r>
      <w:r>
        <w:t xml:space="preserve">(orden, disciplina, responsabilidad) y</w:t>
      </w:r>
      <w:r>
        <w:t xml:space="preserve"> </w:t>
      </w:r>
      <w:r>
        <w:rPr>
          <w:b/>
          <w:bCs/>
        </w:rPr>
        <w:t xml:space="preserve">amabilidad</w:t>
      </w:r>
      <w:r>
        <w:t xml:space="preserve"> </w:t>
      </w:r>
      <w:r>
        <w:t xml:space="preserve">(confianza, altruismo, modestia). Son</w:t>
      </w:r>
      <w:r>
        <w:t xml:space="preserve"> </w:t>
      </w:r>
      <w:r>
        <w:rPr>
          <w:b/>
          <w:bCs/>
        </w:rPr>
        <w:t xml:space="preserve">muy estables después de los 30 años</w:t>
      </w:r>
      <w:r>
        <w:t xml:space="preserve">, incluso en distintas culturas; los cambios son pequeños: bajan el neuroticismo, la extraversión y la apertura, y suben la amabilidad y la meticulosidad. Se los critica por ser un modelo</w:t>
      </w:r>
      <w:r>
        <w:t xml:space="preserve"> </w:t>
      </w:r>
      <w:r>
        <w:rPr>
          <w:b/>
          <w:bCs/>
        </w:rPr>
        <w:t xml:space="preserve">limitado</w:t>
      </w:r>
      <w:r>
        <w:t xml:space="preserve"> </w:t>
      </w:r>
      <w:r>
        <w:t xml:space="preserve">que no explica todo.</w:t>
      </w:r>
    </w:p>
    <w:p>
      <w:pPr>
        <w:pStyle w:val="BodyText"/>
      </w:pPr>
      <w:r>
        <w:rPr>
          <w:b/>
          <w:bCs/>
        </w:rPr>
        <w:t xml:space="preserve">Modelo del autoconcepto</w:t>
      </w:r>
      <w:r>
        <w:t xml:space="preserve"> </w:t>
      </w:r>
      <w:r>
        <w:t xml:space="preserve">(Whitbourne) (pp. 405-406). El sentido del yo se construye en la interacción con otros y se organiza en esquemas. Whitbourne describe dos procesos: la</w:t>
      </w:r>
      <w:r>
        <w:t xml:space="preserve"> </w:t>
      </w:r>
      <w:r>
        <w:rPr>
          <w:b/>
          <w:bCs/>
        </w:rPr>
        <w:t xml:space="preserve">asimilación de identidad</w:t>
      </w:r>
      <w:r>
        <w:t xml:space="preserve"> </w:t>
      </w:r>
      <w:r>
        <w:t xml:space="preserve">(ajustar las experiencias nuevas al autoconcepto que ya se tiene) y la</w:t>
      </w:r>
      <w:r>
        <w:t xml:space="preserve"> </w:t>
      </w:r>
      <w:r>
        <w:rPr>
          <w:b/>
          <w:bCs/>
        </w:rPr>
        <w:t xml:space="preserve">acomodación de identidad</w:t>
      </w:r>
      <w:r>
        <w:t xml:space="preserve"> </w:t>
      </w:r>
      <w:r>
        <w:t xml:space="preserve">(revisar la autoimagen ante lo que no se puede explicar). El equilibrio entre ambos define el</w:t>
      </w:r>
      <w:r>
        <w:t xml:space="preserve"> </w:t>
      </w:r>
      <w:r>
        <w:rPr>
          <w:b/>
          <w:bCs/>
        </w:rPr>
        <w:t xml:space="preserve">estilo de identidad</w:t>
      </w:r>
      <w:r>
        <w:t xml:space="preserve">: el exceso de asimilación vuelve a la persona ciega a la realidad; el de acomodación, débil e influenciable.</w:t>
      </w:r>
    </w:p>
    <w:p>
      <w:pPr>
        <w:pStyle w:val="BodyText"/>
      </w:pPr>
      <w:r>
        <w:rPr>
          <w:b/>
          <w:bCs/>
        </w:rPr>
        <w:t xml:space="preserve">Modelos de etapas</w:t>
      </w:r>
      <w:r>
        <w:t xml:space="preserve"> </w:t>
      </w:r>
      <w:r>
        <w:t xml:space="preserve">(pp. 407-414). Describen cambios</w:t>
      </w:r>
      <w:r>
        <w:t xml:space="preserve"> </w:t>
      </w:r>
      <w:r>
        <w:rPr>
          <w:b/>
          <w:bCs/>
        </w:rPr>
        <w:t xml:space="preserve">normativos</w:t>
      </w:r>
      <w:r>
        <w:t xml:space="preserve"> </w:t>
      </w:r>
      <w:r>
        <w:t xml:space="preserve">ligados a la edad, en períodos sucesivos marcados por crisis:</w:t>
      </w:r>
    </w:p>
    <w:p>
      <w:pPr>
        <w:pStyle w:val="Compact"/>
        <w:numPr>
          <w:ilvl w:val="0"/>
          <w:numId w:val="1001"/>
        </w:numPr>
      </w:pPr>
      <w:r>
        <w:rPr>
          <w:b/>
          <w:bCs/>
        </w:rPr>
        <w:t xml:space="preserve">Erikson:</w:t>
      </w:r>
      <w:r>
        <w:t xml:space="preserve"> </w:t>
      </w:r>
      <w:r>
        <w:t xml:space="preserve">en la adultez,</w:t>
      </w:r>
      <w:r>
        <w:t xml:space="preserve"> </w:t>
      </w:r>
      <w:r>
        <w:rPr>
          <w:b/>
          <w:bCs/>
        </w:rPr>
        <w:t xml:space="preserve">intimidad vs. aislamiento</w:t>
      </w:r>
      <w:r>
        <w:t xml:space="preserve"> </w:t>
      </w:r>
      <w:r>
        <w:t xml:space="preserve">(virtud: amor),</w:t>
      </w:r>
      <w:r>
        <w:t xml:space="preserve"> </w:t>
      </w:r>
      <w:r>
        <w:rPr>
          <w:b/>
          <w:bCs/>
        </w:rPr>
        <w:t xml:space="preserve">generatividad vs. estancamiento</w:t>
      </w:r>
      <w:r>
        <w:t xml:space="preserve"> </w:t>
      </w:r>
      <w:r>
        <w:t xml:space="preserve">(cuidado) e</w:t>
      </w:r>
      <w:r>
        <w:t xml:space="preserve"> </w:t>
      </w:r>
      <w:r>
        <w:rPr>
          <w:b/>
          <w:bCs/>
        </w:rPr>
        <w:t xml:space="preserve">integridad vs. desesperación</w:t>
      </w:r>
      <w:r>
        <w:t xml:space="preserve"> </w:t>
      </w:r>
      <w:r>
        <w:t xml:space="preserve">(sabiduría).</w:t>
      </w:r>
    </w:p>
    <w:p>
      <w:pPr>
        <w:pStyle w:val="Compact"/>
        <w:numPr>
          <w:ilvl w:val="0"/>
          <w:numId w:val="1001"/>
        </w:numPr>
      </w:pPr>
      <w:r>
        <w:rPr>
          <w:b/>
          <w:bCs/>
        </w:rPr>
        <w:t xml:space="preserve">Vaillant</w:t>
      </w:r>
      <w:r>
        <w:t xml:space="preserve"> </w:t>
      </w:r>
      <w:r>
        <w:t xml:space="preserve">(estudio Grant, varones seguidos durante décadas): una secuencia de tareas adultas que va de la identidad y la intimidad a la consolidación de la carrera, la generatividad y la integridad.</w:t>
      </w:r>
    </w:p>
    <w:p>
      <w:pPr>
        <w:pStyle w:val="Compact"/>
        <w:numPr>
          <w:ilvl w:val="0"/>
          <w:numId w:val="1001"/>
        </w:numPr>
      </w:pPr>
      <w:r>
        <w:rPr>
          <w:b/>
          <w:bCs/>
        </w:rPr>
        <w:t xml:space="preserve">Levinson:</w:t>
      </w:r>
      <w:r>
        <w:t xml:space="preserve"> </w:t>
      </w:r>
      <w:r>
        <w:t xml:space="preserve">una</w:t>
      </w:r>
      <w:r>
        <w:t xml:space="preserve"> </w:t>
      </w:r>
      <w:r>
        <w:rPr>
          <w:b/>
          <w:bCs/>
        </w:rPr>
        <w:t xml:space="preserve">estructura de vida</w:t>
      </w:r>
      <w:r>
        <w:t xml:space="preserve"> </w:t>
      </w:r>
      <w:r>
        <w:t xml:space="preserve">que se construye y revisa en fases estables y transiciones, con agitación hacia los 40.</w:t>
      </w:r>
    </w:p>
    <w:p>
      <w:pPr>
        <w:pStyle w:val="Compact"/>
        <w:numPr>
          <w:ilvl w:val="0"/>
          <w:numId w:val="1001"/>
        </w:numPr>
      </w:pPr>
      <w:r>
        <w:rPr>
          <w:b/>
          <w:bCs/>
        </w:rPr>
        <w:t xml:space="preserve">Crítica:</w:t>
      </w:r>
      <w:r>
        <w:t xml:space="preserve"> </w:t>
      </w:r>
      <w:r>
        <w:t xml:space="preserve">se basan en muestras pequeñas de</w:t>
      </w:r>
      <w:r>
        <w:t xml:space="preserve"> </w:t>
      </w:r>
      <w:r>
        <w:rPr>
          <w:b/>
          <w:bCs/>
        </w:rPr>
        <w:t xml:space="preserve">hombres blancos privilegiados</w:t>
      </w:r>
      <w:r>
        <w:t xml:space="preserve"> </w:t>
      </w:r>
      <w:r>
        <w:t xml:space="preserve">de una misma cohorte, y no consideran otras culturas.</w:t>
      </w:r>
    </w:p>
    <w:p>
      <w:pPr>
        <w:pStyle w:val="FirstParagraph"/>
      </w:pPr>
      <w:r>
        <w:rPr>
          <w:b/>
          <w:bCs/>
        </w:rPr>
        <w:t xml:space="preserve">Modelo de los acontecimientos de la vida</w:t>
      </w:r>
      <w:r>
        <w:t xml:space="preserve"> </w:t>
      </w:r>
      <w:r>
        <w:t xml:space="preserve">(Neugarten) (pp. 415-417). El desarrollo adulto depende de los</w:t>
      </w:r>
      <w:r>
        <w:t xml:space="preserve"> </w:t>
      </w:r>
      <w:r>
        <w:rPr>
          <w:b/>
          <w:bCs/>
        </w:rPr>
        <w:t xml:space="preserve">eventos</w:t>
      </w:r>
      <w:r>
        <w:t xml:space="preserve"> </w:t>
      </w:r>
      <w:r>
        <w:t xml:space="preserve">y del</w:t>
      </w:r>
      <w:r>
        <w:t xml:space="preserve"> </w:t>
      </w:r>
      <w:r>
        <w:rPr>
          <w:b/>
          <w:bCs/>
        </w:rPr>
        <w:t xml:space="preserve">momento</w:t>
      </w:r>
      <w:r>
        <w:t xml:space="preserve"> </w:t>
      </w:r>
      <w:r>
        <w:t xml:space="preserve">en que ocurren, más que de la edad. Los eventos</w:t>
      </w:r>
      <w:r>
        <w:t xml:space="preserve"> </w:t>
      </w:r>
      <w:r>
        <w:rPr>
          <w:b/>
          <w:bCs/>
        </w:rPr>
        <w:t xml:space="preserve">normativos</w:t>
      </w:r>
      <w:r>
        <w:t xml:space="preserve"> </w:t>
      </w:r>
      <w:r>
        <w:t xml:space="preserve">son los esperados (paternidad, jubilación); los</w:t>
      </w:r>
      <w:r>
        <w:t xml:space="preserve"> </w:t>
      </w:r>
      <w:r>
        <w:rPr>
          <w:b/>
          <w:bCs/>
        </w:rPr>
        <w:t xml:space="preserve">no normativos</w:t>
      </w:r>
      <w:r>
        <w:t xml:space="preserve">, inusuales (un accidente). Un evento esperado ocurre «</w:t>
      </w:r>
      <w:r>
        <w:rPr>
          <w:b/>
          <w:bCs/>
        </w:rPr>
        <w:t xml:space="preserve">en tiempo</w:t>
      </w:r>
      <w:r>
        <w:t xml:space="preserve">» o «</w:t>
      </w:r>
      <w:r>
        <w:rPr>
          <w:b/>
          <w:bCs/>
        </w:rPr>
        <w:t xml:space="preserve">fuera de tiempo</w:t>
      </w:r>
      <w:r>
        <w:t xml:space="preserve">» según el</w:t>
      </w:r>
      <w:r>
        <w:t xml:space="preserve"> </w:t>
      </w:r>
      <w:r>
        <w:rPr>
          <w:b/>
          <w:bCs/>
        </w:rPr>
        <w:t xml:space="preserve">reloj social</w:t>
      </w:r>
      <w:r>
        <w:t xml:space="preserve"> </w:t>
      </w:r>
      <w:r>
        <w:t xml:space="preserve">(casarse a los 14 o a los 41). Las crisis aparecen cuando los eventos no ocurren como se esperaba. Crítica: la sociedad hoy es</w:t>
      </w:r>
      <w:r>
        <w:t xml:space="preserve"> </w:t>
      </w:r>
      <w:r>
        <w:rPr>
          <w:b/>
          <w:bCs/>
        </w:rPr>
        <w:t xml:space="preserve">menos consciente de la edad</w:t>
      </w:r>
      <w:r>
        <w:t xml:space="preserve">, así que los tiempos son menos previsibles.</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debate es estabilidad vs. cambio; cada modelo responde distinto.</w:t>
      </w:r>
    </w:p>
    <w:p>
      <w:pPr>
        <w:pStyle w:val="RecuadroEsqueleto"/>
      </w:pPr>
      <w:r>
        <w:t xml:space="preserve">2. </w:t>
      </w:r>
      <w:r>
        <w:rPr>
          <w:b/>
          <w:bCs/>
        </w:rPr>
        <w:t xml:space="preserve">Rasgos</w:t>
      </w:r>
      <w:r>
        <w:t xml:space="preserve"> </w:t>
      </w:r>
      <w:r>
        <w:t xml:space="preserve">(Costa y McCrae): cinco factores, estables después de los 30 (Papalia et al., 2009b, pp. 401-403).</w:t>
      </w:r>
    </w:p>
    <w:p>
      <w:pPr>
        <w:pStyle w:val="RecuadroEsqueleto"/>
      </w:pPr>
      <w:r>
        <w:t xml:space="preserve">3. </w:t>
      </w:r>
      <w:r>
        <w:rPr>
          <w:b/>
          <w:bCs/>
        </w:rPr>
        <w:t xml:space="preserve">Autoconcepto</w:t>
      </w:r>
      <w:r>
        <w:t xml:space="preserve"> </w:t>
      </w:r>
      <w:r>
        <w:t xml:space="preserve">(Whitbourne): asimilación y acomodación (p. 406).</w:t>
      </w:r>
    </w:p>
    <w:p>
      <w:pPr>
        <w:pStyle w:val="RecuadroEsqueleto"/>
      </w:pPr>
      <w:r>
        <w:t xml:space="preserve">4. </w:t>
      </w:r>
      <w:r>
        <w:rPr>
          <w:b/>
          <w:bCs/>
        </w:rPr>
        <w:t xml:space="preserve">Etapas</w:t>
      </w:r>
      <w:r>
        <w:t xml:space="preserve"> </w:t>
      </w:r>
      <w:r>
        <w:t xml:space="preserve">(Erikson, Vaillant, Levinson): cambio normativo con crisis; sesgo de muestra (pp. 407-414).</w:t>
      </w:r>
    </w:p>
    <w:p>
      <w:pPr>
        <w:pStyle w:val="RecuadroEsqueleto"/>
      </w:pPr>
      <w:r>
        <w:t xml:space="preserve">5. </w:t>
      </w:r>
      <w:r>
        <w:rPr>
          <w:b/>
          <w:bCs/>
        </w:rPr>
        <w:t xml:space="preserve">Acontecimientos</w:t>
      </w:r>
      <w:r>
        <w:t xml:space="preserve"> </w:t>
      </w:r>
      <w:r>
        <w:t xml:space="preserve">(Neugarten): eventos y reloj social (pp. 415-417).</w:t>
      </w:r>
    </w:p>
    <w:p>
      <w:pPr>
        <w:pStyle w:val="RecuadroEsqueleto"/>
      </w:pPr>
      <w:r>
        <w:t xml:space="preserve">6. </w:t>
      </w:r>
      <w:r>
        <w:rPr>
          <w:b/>
          <w:bCs/>
        </w:rPr>
        <w:t xml:space="preserve">Cierre:</w:t>
      </w:r>
      <w:r>
        <w:t xml:space="preserve"> </w:t>
      </w:r>
      <w:r>
        <w:t xml:space="preserve">hoy se busca integrarlos (p. 428).</w:t>
      </w:r>
    </w:p>
    <w:p>
      <w:pPr>
        <w:pStyle w:val="RecuadroAtencion"/>
      </w:pPr>
      <w:r>
        <w:t xml:space="preserve">⚠</w:t>
      </w:r>
      <w:r>
        <w:t xml:space="preserve"> </w:t>
      </w:r>
      <w:r>
        <w:rPr>
          <w:b/>
          <w:bCs/>
        </w:rPr>
        <w:t xml:space="preserve">No confundir:</w:t>
      </w:r>
      <w:r>
        <w:t xml:space="preserve"> </w:t>
      </w:r>
      <w:r>
        <w:rPr>
          <w:i/>
          <w:iCs/>
        </w:rPr>
        <w:t xml:space="preserve">asimilación de identidad</w:t>
      </w:r>
      <w:r>
        <w:t xml:space="preserve"> </w:t>
      </w:r>
      <w:r>
        <w:t xml:space="preserve">(ajustar la experiencia al yo) con</w:t>
      </w:r>
      <w:r>
        <w:t xml:space="preserve"> </w:t>
      </w:r>
      <w:r>
        <w:rPr>
          <w:i/>
          <w:iCs/>
        </w:rPr>
        <w:t xml:space="preserve">acomodación</w:t>
      </w:r>
      <w:r>
        <w:t xml:space="preserve"> </w:t>
      </w:r>
      <w:r>
        <w:t xml:space="preserve">(cambiar el yo); y</w:t>
      </w:r>
      <w:r>
        <w:t xml:space="preserve"> </w:t>
      </w:r>
      <w:r>
        <w:rPr>
          <w:i/>
          <w:iCs/>
        </w:rPr>
        <w:t xml:space="preserve">evento no normativo</w:t>
      </w:r>
      <w:r>
        <w:t xml:space="preserve"> </w:t>
      </w:r>
      <w:r>
        <w:t xml:space="preserve">(inesperado) con</w:t>
      </w:r>
      <w:r>
        <w:t xml:space="preserve"> </w:t>
      </w:r>
      <w:r>
        <w:rPr>
          <w:i/>
          <w:iCs/>
        </w:rPr>
        <w:t xml:space="preserve">evento normativo fuera de tiempo</w:t>
      </w:r>
      <w:r>
        <w:t xml:space="preserve"> </w:t>
      </w:r>
      <w:r>
        <w:t xml:space="preserve">(esperado, pero a una edad inusual) (Papalia et al., 2009b, pp. 406, 416).</w:t>
      </w:r>
    </w:p>
    <w:p>
      <w:r>
        <w:pict>
          <v:rect style="width:0;height:1.5pt" o:hralign="center" o:hrstd="t" o:hr="t"/>
        </w:pict>
      </w:r>
    </w:p>
    <w:bookmarkEnd w:id="11"/>
    <w:bookmarkStart w:id="12" w:name="cambios-en-la-personalidad"/>
    <w:p>
      <w:pPr>
        <w:pStyle w:val="Heading2"/>
      </w:pPr>
      <w:r>
        <w:t xml:space="preserve">3. Cambios en la personalidad</w:t>
      </w:r>
    </w:p>
    <w:p>
      <w:pPr>
        <w:pStyle w:val="FirstParagraph"/>
      </w:pPr>
      <w:r>
        <w:rPr>
          <w:b/>
          <w:bCs/>
        </w:rPr>
        <w:t xml:space="preserve">Estabilidad y cambio a la vez.</w:t>
      </w:r>
      <w:r>
        <w:t xml:space="preserve"> </w:t>
      </w:r>
      <w:r>
        <w:t xml:space="preserve">Hoy se busca</w:t>
      </w:r>
      <w:r>
        <w:t xml:space="preserve"> </w:t>
      </w:r>
      <w:r>
        <w:rPr>
          <w:b/>
          <w:bCs/>
        </w:rPr>
        <w:t xml:space="preserve">integrar</w:t>
      </w:r>
      <w:r>
        <w:t xml:space="preserve"> </w:t>
      </w:r>
      <w:r>
        <w:t xml:space="preserve">los modelos: la personalidad cambia de manera consistente y a menudo predecible de la juventud a la adultez media, pero con áreas estables; una misma dimensión puede manifestarse distinto con la edad (un vendedor sociable a los 25 puede, a los 70, hacer lobby en el Congreso) (Papalia et al., 2009b, pp. 427-428).</w:t>
      </w:r>
    </w:p>
    <w:p>
      <w:pPr>
        <w:pStyle w:val="BodyText"/>
      </w:pPr>
      <w:r>
        <w:rPr>
          <w:b/>
          <w:bCs/>
        </w:rPr>
        <w:t xml:space="preserve">Género.</w:t>
      </w:r>
      <w:r>
        <w:t xml:space="preserve"> </w:t>
      </w:r>
      <w:r>
        <w:t xml:space="preserve">Con la edad hay indicios de mayor</w:t>
      </w:r>
      <w:r>
        <w:t xml:space="preserve"> </w:t>
      </w:r>
      <w:r>
        <w:rPr>
          <w:b/>
          <w:bCs/>
        </w:rPr>
        <w:t xml:space="preserve">androginia</w:t>
      </w:r>
      <w:r>
        <w:t xml:space="preserve"> </w:t>
      </w:r>
      <w:r>
        <w:t xml:space="preserve">(combinar rasgos considerados masculinos y femeninos): según</w:t>
      </w:r>
      <w:r>
        <w:t xml:space="preserve"> </w:t>
      </w:r>
      <w:r>
        <w:rPr>
          <w:b/>
          <w:bCs/>
        </w:rPr>
        <w:t xml:space="preserve">Jung</w:t>
      </w:r>
      <w:r>
        <w:t xml:space="preserve">, en la adultez media hombres y mujeres integran aspectos antes «rechazados»; según</w:t>
      </w:r>
      <w:r>
        <w:t xml:space="preserve"> </w:t>
      </w:r>
      <w:r>
        <w:rPr>
          <w:b/>
          <w:bCs/>
        </w:rPr>
        <w:t xml:space="preserve">Gutmann</w:t>
      </w:r>
      <w:r>
        <w:t xml:space="preserve">, después de la crianza los hombres se vuelven más pasivos y las mujeres más dominantes. La evidencia es mixta (pp. 418-421).</w:t>
      </w:r>
    </w:p>
    <w:p>
      <w:pPr>
        <w:pStyle w:val="BodyText"/>
      </w:pPr>
      <w:r>
        <w:rPr>
          <w:b/>
          <w:bCs/>
        </w:rPr>
        <w:t xml:space="preserve">Estudios Mills (Helson).</w:t>
      </w:r>
      <w:r>
        <w:t xml:space="preserve"> </w:t>
      </w:r>
      <w:r>
        <w:t xml:space="preserve">140 mujeres del Mills College seguidas más de treinta años, para corregir el sesgo masculino de las etapas. A principios de los 40 muchas revisaron su historia vital; entre los 21 y los 52 aumentaron la autodisciplina, la independencia, la autoconfianza y la asertividad, y a los 50 describían su vida como «de primera clase». Límite: muestra de mujeres blancas de clase media alta de una sola cohorte (pp. 422-427).</w:t>
      </w:r>
    </w:p>
    <w:p>
      <w:pPr>
        <w:pStyle w:val="RecuadroAtencion"/>
      </w:pPr>
      <w:r>
        <w:t xml:space="preserve">⚠</w:t>
      </w:r>
      <w:r>
        <w:t xml:space="preserve"> </w:t>
      </w:r>
      <w:r>
        <w:rPr>
          <w:b/>
          <w:bCs/>
        </w:rPr>
        <w:t xml:space="preserve">No confundir:</w:t>
      </w:r>
      <w:r>
        <w:t xml:space="preserve"> </w:t>
      </w:r>
      <w:r>
        <w:rPr>
          <w:i/>
          <w:iCs/>
        </w:rPr>
        <w:t xml:space="preserve">crisis de la adultez media</w:t>
      </w:r>
      <w:r>
        <w:t xml:space="preserve"> </w:t>
      </w:r>
      <w:r>
        <w:t xml:space="preserve">(estresante y universal, según Levinson) con</w:t>
      </w:r>
      <w:r>
        <w:t xml:space="preserve"> </w:t>
      </w:r>
      <w:r>
        <w:rPr>
          <w:i/>
          <w:iCs/>
        </w:rPr>
        <w:t xml:space="preserve">transición de la adultez media</w:t>
      </w:r>
      <w:r>
        <w:t xml:space="preserve"> </w:t>
      </w:r>
      <w:r>
        <w:t xml:space="preserve">(a veces estresante, no necesariamente una crisis; tiene más apoyo empírico) (Papalia et al., 2009b, p. 410).</w:t>
      </w:r>
    </w:p>
    <w:p>
      <w:r>
        <w:pict>
          <v:rect style="width:0;height:1.5pt" o:hralign="center" o:hrstd="t" o:hr="t"/>
        </w:pict>
      </w:r>
    </w:p>
    <w:bookmarkEnd w:id="12"/>
    <w:bookmarkStart w:id="13" w:name="desarrollo-de-la-creatividad-programa"/>
    <w:p>
      <w:pPr>
        <w:pStyle w:val="Heading2"/>
      </w:pPr>
      <w:r>
        <w:t xml:space="preserve">4. Desarrollo de la creatividad (programa)</w:t>
      </w:r>
    </w:p>
    <w:p>
      <w:pPr>
        <w:pStyle w:val="FirstParagraph"/>
      </w:pPr>
      <w:r>
        <w:t xml:space="preserve">El programa vuelve a nombrar la creatividad en esta clase; en el cursado se la trabajó junto con la inteligencia (clase 18, §5 de</w:t>
      </w:r>
      <w:r>
        <w:t xml:space="preserve"> </w:t>
      </w:r>
      <w:r>
        <w:rPr>
          <w:rStyle w:val="VerbatimChar"/>
        </w:rPr>
        <w:t xml:space="preserve">C18_Inteligencia_Cursada_Guia.md</w:t>
      </w:r>
      <w:r>
        <w:t xml:space="preserve">). Lo esencial: el</w:t>
      </w:r>
      <w:r>
        <w:t xml:space="preserve"> </w:t>
      </w:r>
      <w:r>
        <w:rPr>
          <w:b/>
          <w:bCs/>
        </w:rPr>
        <w:t xml:space="preserve">rendimiento creativo</w:t>
      </w:r>
      <w:r>
        <w:t xml:space="preserve"> </w:t>
      </w:r>
      <w:r>
        <w:t xml:space="preserve">de la adultez es producto de fuerzas biológicas, personales, sociales y culturales; se mide con el</w:t>
      </w:r>
      <w:r>
        <w:t xml:space="preserve"> </w:t>
      </w:r>
      <w:r>
        <w:rPr>
          <w:b/>
          <w:bCs/>
        </w:rPr>
        <w:t xml:space="preserve">pensamiento divergente</w:t>
      </w:r>
      <w:r>
        <w:t xml:space="preserve">; el pico de productividad ronda</w:t>
      </w:r>
      <w:r>
        <w:t xml:space="preserve"> </w:t>
      </w:r>
      <w:r>
        <w:rPr>
          <w:b/>
          <w:bCs/>
        </w:rPr>
        <w:t xml:space="preserve">fines de los 30</w:t>
      </w:r>
      <w:r>
        <w:t xml:space="preserve">, varía según el campo, y la calidad de las obras no depende de la edad (Papalia et al., 2009b, pp. 218-227). Se relaciona con la personalidad: las personas creativas son versátiles, independientes, no conformistas y</w:t>
      </w:r>
      <w:r>
        <w:t xml:space="preserve"> </w:t>
      </w:r>
      <w:r>
        <w:rPr>
          <w:b/>
          <w:bCs/>
        </w:rPr>
        <w:t xml:space="preserve">abiertas a la experiencia</w:t>
      </w:r>
      <w:r>
        <w:t xml:space="preserve">, uno de los cinco factores (Cátedra de Psicología Evolutiva, 2026a, diapositiva 17).</w:t>
      </w:r>
    </w:p>
    <w:p>
      <w:r>
        <w:pict>
          <v:rect style="width:0;height:1.5pt" o:hralign="center" o:hrstd="t" o:hr="t"/>
        </w:pict>
      </w:r>
    </w:p>
    <w:bookmarkEnd w:id="13"/>
    <w:bookmarkStart w:id="14" w:name="para-rendir-formato-del-parcial"/>
    <w:p>
      <w:pPr>
        <w:pStyle w:val="Heading2"/>
      </w:pPr>
      <w:r>
        <w:t xml:space="preserve">Para rendir (formato del parcial)</w:t>
      </w:r>
    </w:p>
    <w:p>
      <w:pPr>
        <w:pStyle w:val="FirstParagraph"/>
      </w:pPr>
      <w:r>
        <w:rPr>
          <w:b/>
          <w:bCs/>
        </w:rPr>
        <w:t xml:space="preserve">1) Opción múltiple.</w:t>
      </w:r>
      <w:r>
        <w:t xml:space="preserve"> </w:t>
      </w:r>
      <w:r>
        <w:t xml:space="preserve">¿Cuál</w:t>
      </w:r>
      <w:r>
        <w:t xml:space="preserve"> </w:t>
      </w:r>
      <w:r>
        <w:rPr>
          <w:b/>
          <w:bCs/>
        </w:rPr>
        <w:t xml:space="preserve">no</w:t>
      </w:r>
      <w:r>
        <w:t xml:space="preserve"> </w:t>
      </w:r>
      <w:r>
        <w:t xml:space="preserve">es uno de los cinco factores de Costa y McCrae? (a) neuroticismo; (b) apertura a la experiencia; (c)</w:t>
      </w:r>
      <w:r>
        <w:t xml:space="preserve"> </w:t>
      </w:r>
      <w:r>
        <w:rPr>
          <w:b/>
          <w:bCs/>
        </w:rPr>
        <w:t xml:space="preserve">generatividad</w:t>
      </w:r>
      <w:r>
        <w:t xml:space="preserve">; (d) meticulosidad. —</w:t>
      </w:r>
      <w:r>
        <w:t xml:space="preserve"> </w:t>
      </w:r>
      <w:r>
        <w:rPr>
          <w:i/>
          <w:iCs/>
        </w:rPr>
        <w:t xml:space="preserve">Respuesta: c.</w:t>
      </w:r>
      <w:r>
        <w:t xml:space="preserve"> </w:t>
      </w:r>
      <w:r>
        <w:t xml:space="preserve">La generatividad es la séptima crisis de Erikson (Papalia et al., 2009b, pp. 401, 407).</w:t>
      </w:r>
    </w:p>
    <w:p>
      <w:pPr>
        <w:pStyle w:val="BodyText"/>
      </w:pPr>
      <w:r>
        <w:rPr>
          <w:b/>
          <w:bCs/>
        </w:rPr>
        <w:t xml:space="preserve">2) Verdadero o falso.</w:t>
      </w:r>
      <w:r>
        <w:t xml:space="preserve"> </w:t>
      </w:r>
      <w:r>
        <w:t xml:space="preserve">«Según Neugarten, las crisis de la adultez se deben a llegar a ciertas edades.» —</w:t>
      </w:r>
      <w:r>
        <w:t xml:space="preserve"> </w:t>
      </w:r>
      <w:r>
        <w:rPr>
          <w:i/>
          <w:iCs/>
        </w:rPr>
        <w:t xml:space="preserve">Falso.</w:t>
      </w:r>
      <w:r>
        <w:t xml:space="preserve"> </w:t>
      </w:r>
      <w:r>
        <w:t xml:space="preserve">Se deben a eventos inesperados o fuera del reloj social (p. 416).</w:t>
      </w:r>
    </w:p>
    <w:p>
      <w:pPr>
        <w:pStyle w:val="BodyText"/>
      </w:pPr>
      <w:r>
        <w:rPr>
          <w:b/>
          <w:bCs/>
        </w:rPr>
        <w:t xml:space="preserve">3) Verdadero o falso.</w:t>
      </w:r>
      <w:r>
        <w:t xml:space="preserve"> </w:t>
      </w:r>
      <w:r>
        <w:t xml:space="preserve">«Los modelos de etapas se basaron en muestras diversas en género y cultura.» —</w:t>
      </w:r>
      <w:r>
        <w:t xml:space="preserve"> </w:t>
      </w:r>
      <w:r>
        <w:rPr>
          <w:i/>
          <w:iCs/>
        </w:rPr>
        <w:t xml:space="preserve">Falso.</w:t>
      </w:r>
      <w:r>
        <w:t xml:space="preserve"> </w:t>
      </w:r>
      <w:r>
        <w:t xml:space="preserve">Se basaron en muestras pequeñas de hombres blancos privilegiados (pp. 413-414).</w:t>
      </w:r>
    </w:p>
    <w:p>
      <w:pPr>
        <w:pStyle w:val="BodyText"/>
      </w:pPr>
      <w:r>
        <w:rPr>
          <w:b/>
          <w:bCs/>
        </w:rPr>
        <w:t xml:space="preserve">4) Pregunta abierta (máx. 7 renglones).</w:t>
      </w:r>
      <w:r>
        <w:t xml:space="preserve"> </w:t>
      </w:r>
      <w:r>
        <w:rPr>
          <w:i/>
          <w:iCs/>
        </w:rPr>
        <w:t xml:space="preserve">Compará el modelo de los cinco factores con los modelos de etapas.</w:t>
      </w:r>
    </w:p>
    <w:p>
      <w:pPr>
        <w:pStyle w:val="BodyText"/>
      </w:pPr>
      <w:r>
        <w:rPr>
          <w:i/>
          <w:iCs/>
        </w:rPr>
        <w:t xml:space="preserve">Respuesta modelo:</w:t>
      </w:r>
      <w:r>
        <w:t xml:space="preserve"> </w:t>
      </w:r>
      <w:r>
        <w:t xml:space="preserve">El modelo de los cinco factores de Costa y McCrae (neuroticismo, extraversión, apertura, meticulosidad y amabilidad) sostiene que la personalidad es muy estable después de los 30 años, con cambios pequeños, también en distintas culturas. Los modelos de etapas (Erikson, Vaillant, Levinson) describen en cambio transformaciones normativas ligadas a la edad, con tareas o crisis como la intimidad, la generatividad y la integridad. Al primero se lo critica por limitado y a los segundos por basarse en hombres blancos privilegiados; hoy se busca integrarlos (Papalia et al., 2009b, pp. 401-414, 428).</w:t>
      </w:r>
    </w:p>
    <w:bookmarkEnd w:id="14"/>
    <w:bookmarkStart w:id="15" w:name="referencias"/>
    <w:p>
      <w:pPr>
        <w:pStyle w:val="Heading2"/>
      </w:pPr>
      <w:r>
        <w:t xml:space="preserve">Referencias</w:t>
      </w:r>
    </w:p>
    <w:p>
      <w:pPr>
        <w:pStyle w:val="FirstParagraph"/>
      </w:pPr>
      <w:r>
        <w:t xml:space="preserve">Cátedra de Psicología Evolutiva. (2026a).</w:t>
      </w:r>
      <w:r>
        <w:t xml:space="preserve"> </w:t>
      </w:r>
      <w:r>
        <w:rPr>
          <w:i/>
          <w:iCs/>
        </w:rPr>
        <w:t xml:space="preserve">Desarrollo cognitivo en la adultez</w:t>
      </w:r>
      <w:r>
        <w:t xml:space="preserve"> </w:t>
      </w:r>
      <w:r>
        <w:t xml:space="preserve">[Diapositivas de clase]. Universidad Favaloro.</w:t>
      </w:r>
    </w:p>
    <w:p>
      <w:pPr>
        <w:pStyle w:val="BodyText"/>
      </w:pPr>
      <w:r>
        <w:t xml:space="preserve">Papalia, D. E., Sterns, H. L., Feldman, R. D., &amp; Camp, C. J. (2009b). Desarrollo de la personalidad. En</w:t>
      </w:r>
      <w:r>
        <w:t xml:space="preserve"> </w:t>
      </w:r>
      <w:r>
        <w:rPr>
          <w:i/>
          <w:iCs/>
        </w:rPr>
        <w:t xml:space="preserve">Desarrollo del adulto y vejez</w:t>
      </w:r>
      <w:r>
        <w:t xml:space="preserve"> </w:t>
      </w:r>
      <w:r>
        <w:t xml:space="preserve">(cap. 11, pp. 392-430). McGraw Hill Interamericana.</w:t>
      </w:r>
    </w:p>
    <w:p>
      <w:pPr>
        <w:pStyle w:val="BodyText"/>
      </w:pPr>
      <w:r>
        <w:t xml:space="preserve">Papalia, D. E., Sterns, H. L., Feldman, R. D., &amp; Camp, C. J. (2009b). Inteligencia y creatividad. En</w:t>
      </w:r>
      <w:r>
        <w:t xml:space="preserve"> </w:t>
      </w:r>
      <w:r>
        <w:rPr>
          <w:i/>
          <w:iCs/>
        </w:rPr>
        <w:t xml:space="preserve">Desarrollo del adulto y vejez</w:t>
      </w:r>
      <w:r>
        <w:t xml:space="preserve"> </w:t>
      </w:r>
      <w:r>
        <w:t xml:space="preserve">(cap. 6, pp. 191-229). McGraw Hill Interamericana.</w:t>
      </w:r>
    </w:p>
    <w:bookmarkEnd w:id="15"/>
    <w:bookmarkEnd w:id="16"/>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C21 — Personalidad en la adultez · Versión de cursada</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2026-10-16T04:59:03Z</dcterms:created>
  <dcterms:modified xsi:type="dcterms:W3CDTF">2026-10-16T04:59:03Z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in_saltos">
    <vt:lpwstr>True</vt:lpwstr>
  </property>
</Properties>
</file>