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c21-personalidad-ficha-de-repaso"/>
    <w:p>
      <w:pPr>
        <w:pStyle w:val="Heading1"/>
      </w:pPr>
      <w:r>
        <w:t xml:space="preserve">C21 — Personalidad · Ficha de repaso</w:t>
      </w:r>
    </w:p>
    <w:p>
      <w:pPr>
        <w:pStyle w:val="RecuadroIdea"/>
      </w:pPr>
      <w:r>
        <w:rPr>
          <w:b/>
          <w:bCs/>
        </w:rPr>
        <w:t xml:space="preserve">Idea-fuerza:</w:t>
      </w:r>
      <w:r>
        <w:t xml:space="preserve"> </w:t>
      </w:r>
      <w:r>
        <w:t xml:space="preserve">La personalidad adulta combina</w:t>
      </w:r>
      <w:r>
        <w:t xml:space="preserve"> </w:t>
      </w:r>
      <w:r>
        <w:rPr>
          <w:b/>
          <w:bCs/>
        </w:rPr>
        <w:t xml:space="preserve">estabilidad y cambio</w:t>
      </w:r>
      <w:r>
        <w:t xml:space="preserve">. Los</w:t>
      </w:r>
      <w:r>
        <w:t xml:space="preserve"> </w:t>
      </w:r>
      <w:r>
        <w:rPr>
          <w:b/>
          <w:bCs/>
        </w:rPr>
        <w:t xml:space="preserve">modelos de rasgos</w:t>
      </w:r>
      <w:r>
        <w:t xml:space="preserve"> </w:t>
      </w:r>
      <w:r>
        <w:t xml:space="preserve">(Costa y McCrae) destacan la estabilidad después de los 30; los</w:t>
      </w:r>
      <w:r>
        <w:t xml:space="preserve"> </w:t>
      </w:r>
      <w:r>
        <w:rPr>
          <w:b/>
          <w:bCs/>
        </w:rPr>
        <w:t xml:space="preserve">modelos de etapas</w:t>
      </w:r>
      <w:r>
        <w:t xml:space="preserve"> </w:t>
      </w:r>
      <w:r>
        <w:t xml:space="preserve">(Erikson, Vaillant, Levinson), el cambio normativo ligado a la edad; el</w:t>
      </w:r>
      <w:r>
        <w:t xml:space="preserve"> </w:t>
      </w:r>
      <w:r>
        <w:rPr>
          <w:b/>
          <w:bCs/>
        </w:rPr>
        <w:t xml:space="preserve">modelo de los acontecimientos de la vida</w:t>
      </w:r>
      <w:r>
        <w:t xml:space="preserve"> </w:t>
      </w:r>
      <w:r>
        <w:t xml:space="preserve">(Neugarten), el momento en que ocurren los eventos; y el</w:t>
      </w:r>
      <w:r>
        <w:t xml:space="preserve"> </w:t>
      </w:r>
      <w:r>
        <w:rPr>
          <w:b/>
          <w:bCs/>
        </w:rPr>
        <w:t xml:space="preserve">modelo del autoconcepto</w:t>
      </w:r>
      <w:r>
        <w:t xml:space="preserve"> </w:t>
      </w:r>
      <w:r>
        <w:t xml:space="preserve">(Whitbourne), el equilibrio entre asimilación y acomodación de la identidad. El</w:t>
      </w:r>
      <w:r>
        <w:t xml:space="preserve"> </w:t>
      </w:r>
      <w:r>
        <w:rPr>
          <w:b/>
          <w:bCs/>
        </w:rPr>
        <w:t xml:space="preserve">género</w:t>
      </w:r>
      <w:r>
        <w:t xml:space="preserve"> </w:t>
      </w:r>
      <w:r>
        <w:t xml:space="preserve">modula todo el desarrollo (Papalia et al., 2009b, pp. 399-400, 427-428).</w:t>
      </w:r>
    </w:p>
    <w:p>
      <w:pPr>
        <w:pStyle w:val="BodyText"/>
      </w:pPr>
      <w:r>
        <w:drawing>
          <wp:inline>
            <wp:extent cx="5759999" cy="1733877"/>
            <wp:effectExtent b="0" l="0" r="0" t="0"/>
            <wp:docPr descr="Diagrama de la guía" title="" id="10" name="Picture"/>
            <a:graphic>
              <a:graphicData uri="http://schemas.openxmlformats.org/drawingml/2006/picture">
                <pic:pic>
                  <pic:nvPicPr>
                    <pic:cNvPr descr="C:/Users/Fmendezcasariego/OneDrive/Carpetas/Educación/Universidad/Favaloro/Psicología/2do%20Año/Psicología%20Evolutiva/3_Guias_de_Estudio/_media/C21_Personalidad_0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17338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12" w:name="esqueletos-de-respuesta"/>
    <w:p>
      <w:pPr>
        <w:pStyle w:val="Heading2"/>
      </w:pPr>
      <w:r>
        <w:t xml:space="preserve">Esqueletos de respuesta</w:t>
      </w:r>
    </w:p>
    <w:p>
      <w:pPr>
        <w:pStyle w:val="FirstParagraph"/>
      </w:pPr>
      <w:r>
        <w:rPr>
          <w:b/>
          <w:bCs/>
        </w:rPr>
        <w:t xml:space="preserve">P1. Definición y orígenes.</w:t>
      </w:r>
      <w:r>
        <w:t xml:space="preserve"> </w:t>
      </w:r>
      <w:r>
        <w:t xml:space="preserve">Patrones distintivos y relativamente constantes de pensar, sentir y comportarse con que cada persona se adapta (Mischel, 1986) (p. 395); medición con inventarios, Q-sort y entrevistas (pp. 397-398); orígenes: temperamento hereditario + experiencia, interacción (pp. 398-399).</w:t>
      </w:r>
    </w:p>
    <w:p>
      <w:pPr>
        <w:pStyle w:val="BodyText"/>
      </w:pPr>
      <w:r>
        <w:rPr>
          <w:b/>
          <w:bCs/>
        </w:rPr>
        <w:t xml:space="preserve">P2. Rasgos: los cinco factores.</w:t>
      </w:r>
      <w:r>
        <w:t xml:space="preserve"> </w:t>
      </w:r>
      <w:r>
        <w:t xml:space="preserve">Neuroticismo, extraversión, apertura, meticulosidad, amabilidad; estables después de los 30; cambios pequeños (N, E y apertura bajan; A y M suben); crítica: «muy limitado» (pp. 400-404).</w:t>
      </w:r>
    </w:p>
    <w:p>
      <w:pPr>
        <w:pStyle w:val="BodyText"/>
      </w:pPr>
      <w:r>
        <w:rPr>
          <w:b/>
          <w:bCs/>
        </w:rPr>
        <w:t xml:space="preserve">P3. Autoconcepto (Whitbourne).</w:t>
      </w:r>
      <w:r>
        <w:t xml:space="preserve"> </w:t>
      </w:r>
      <w:r>
        <w:t xml:space="preserve">Esquemas, posibles yoes (Markus y Nurius); asimilación y acomodación de identidad; el exceso de cualquiera es poco saludable (pp. 405-406).</w:t>
      </w:r>
    </w:p>
    <w:p>
      <w:pPr>
        <w:pStyle w:val="BodyText"/>
      </w:pPr>
      <w:r>
        <w:rPr>
          <w:b/>
          <w:bCs/>
        </w:rPr>
        <w:t xml:space="preserve">P4. Etapas.</w:t>
      </w:r>
      <w:r>
        <w:t xml:space="preserve"> </w:t>
      </w:r>
      <w:r>
        <w:t xml:space="preserve">Erikson (crisis 6 a 8: intimidad, generatividad, integridad); Vaillant (estudio Grant); Levinson (estructura de vida, transiciones); críticas: muestras masculinas, de élite y de otra cohorte (pp. 407-415).</w:t>
      </w:r>
    </w:p>
    <w:p>
      <w:pPr>
        <w:pStyle w:val="BodyText"/>
      </w:pPr>
      <w:r>
        <w:rPr>
          <w:b/>
          <w:bCs/>
        </w:rPr>
        <w:t xml:space="preserve">P5. Acontecimientos de la vida.</w:t>
      </w:r>
      <w:r>
        <w:t xml:space="preserve"> </w:t>
      </w:r>
      <w:r>
        <w:t xml:space="preserve">Normativos y no normativos; «en tiempo» o «fuera de tiempo» según el reloj social; crisis por lo inesperado, no por la edad; hoy hay menor conciencia de la edad (pp. 415-417).</w:t>
      </w:r>
    </w:p>
    <w:p>
      <w:pPr>
        <w:pStyle w:val="BodyText"/>
      </w:pPr>
      <w:r>
        <w:rPr>
          <w:b/>
          <w:bCs/>
        </w:rPr>
        <w:t xml:space="preserve">P6. Género y personalidad.</w:t>
      </w:r>
      <w:r>
        <w:t xml:space="preserve"> </w:t>
      </w:r>
      <w:r>
        <w:t xml:space="preserve">Estereotipos, roles e identidad de género; masculino, femenino, andrógino, indiferenciado (Bem); teorías de la identidad de género; con la edad tienden a hacerse más flexibles (Jung, Gutmann; evidencia mixta) (pp. 417-421).</w:t>
      </w:r>
    </w:p>
    <w:p>
      <w:pPr>
        <w:pStyle w:val="BodyText"/>
      </w:pPr>
      <w:r>
        <w:rPr>
          <w:b/>
          <w:bCs/>
        </w:rPr>
        <w:t xml:space="preserve">P7. Estudios Mills (Helson).</w:t>
      </w:r>
      <w:r>
        <w:t xml:space="preserve"> </w:t>
      </w:r>
      <w:r>
        <w:t xml:space="preserve">140 mujeres, seguidas más de 30 años; crisis a principios de los 40, más independencia y autoconfianza, florecimiento a los 50; compromiso con carrera o maternidad → más desarrollo; límites: muestra homogénea y de una cohorte (pp. 422-427).</w:t>
      </w:r>
    </w:p>
    <w:p>
      <w:pPr>
        <w:pStyle w:val="BodyText"/>
      </w:pPr>
      <w:r>
        <w:rPr>
          <w:b/>
          <w:bCs/>
        </w:rPr>
        <w:t xml:space="preserve">P8. Síntesis.</w:t>
      </w:r>
      <w:r>
        <w:t xml:space="preserve"> </w:t>
      </w:r>
      <w:r>
        <w:t xml:space="preserve">Estabilidad y cambio no se excluyen; marcos integradores de Costa y McCrae y de Helson; la personalidad cambia de forma predecible de la juventud a la adultez media (pp. 428).</w:t>
      </w:r>
    </w:p>
    <w:bookmarkEnd w:id="12"/>
    <w:bookmarkStart w:id="13" w:name="no-confundir"/>
    <w:p>
      <w:pPr>
        <w:pStyle w:val="Heading2"/>
      </w:pPr>
      <w:r>
        <w:t xml:space="preserve">No confundir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Personalidad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Conducta observable / temperamento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Patrón con estructura interna / lo que la define el conductismo / disposición biológica (pp. 395, 398)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Tendencias básicas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Adaptaciones específicas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Rasgos heredados o adquiridos, lo que menos cambia / roles, actitudes, hábitos (p. 400)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Biografía objetiva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Autoconcepto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Hechos reales / cómo la persona se ve (p. 400)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Crisis de la adultez 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Transición de la adultez 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Estresante y universal (Jacques, Levinson) / a veces estresante, mayor apoyo empírico (p. 410)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Evento normativo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normativo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Esperado en el ciclo (paternidad, jubilación) / inesperado (accidente) (p. 416)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Estereotipos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Roles / identidad de género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Generalizaciones / normas culturales / conciencia de ser hombre o mujer (p. 417)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Andrógino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Indiferenciado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 en ambas características / bajo en ambas (p. 418)</w:t>
            </w:r>
          </w:p>
        </w:tc>
      </w:tr>
    </w:tbl>
    <w:bookmarkEnd w:id="13"/>
    <w:bookmarkStart w:id="14" w:name="datos-que-conviene-saber"/>
    <w:p>
      <w:pPr>
        <w:pStyle w:val="Heading2"/>
      </w:pPr>
      <w:r>
        <w:t xml:space="preserve">Datos que conviene saber</w:t>
      </w:r>
    </w:p>
    <w:p>
      <w:pPr>
        <w:pStyle w:val="Compact"/>
        <w:numPr>
          <w:ilvl w:val="0"/>
          <w:numId w:val="1001"/>
        </w:numPr>
      </w:pPr>
      <w:r>
        <w:t xml:space="preserve">Estudio Terman: la meticulosidad predice longevidad (Papalia et al., 2009b, pp. 396-397).</w:t>
      </w:r>
    </w:p>
    <w:p>
      <w:pPr>
        <w:pStyle w:val="Compact"/>
        <w:numPr>
          <w:ilvl w:val="0"/>
          <w:numId w:val="1001"/>
        </w:numPr>
      </w:pPr>
      <w:r>
        <w:t xml:space="preserve">Estudio de los cinco factores: Baltimore, muestra nacional de más de 10 000 y cinco culturas (pp. 402-403).</w:t>
      </w:r>
    </w:p>
    <w:p>
      <w:pPr>
        <w:pStyle w:val="Compact"/>
        <w:numPr>
          <w:ilvl w:val="0"/>
          <w:numId w:val="1001"/>
        </w:numPr>
      </w:pPr>
      <w:r>
        <w:t xml:space="preserve">Estudios Mills: 140 mujeres de las generaciones de 1958 y 1960 (p. 422).</w:t>
      </w:r>
    </w:p>
    <w:bookmarkEnd w:id="14"/>
    <w:bookmarkStart w:id="15" w:name="referencias"/>
    <w:p>
      <w:pPr>
        <w:pStyle w:val="Heading2"/>
      </w:pPr>
      <w:r>
        <w:t xml:space="preserve">Referencias</w:t>
      </w:r>
    </w:p>
    <w:p>
      <w:pPr>
        <w:pStyle w:val="FirstParagraph"/>
      </w:pPr>
      <w:r>
        <w:t xml:space="preserve">Papalia, D. E., Sterns, H. L., Feldman, R. D., &amp; Camp, C. J. (2009b).</w:t>
      </w:r>
      <w:r>
        <w:t xml:space="preserve"> </w:t>
      </w:r>
      <w:r>
        <w:rPr>
          <w:i/>
          <w:iCs/>
        </w:rPr>
        <w:t xml:space="preserve">Desarrollo del adulto y vejez</w:t>
      </w:r>
      <w:r>
        <w:t xml:space="preserve">. McGraw Hill Interamericana.</w:t>
      </w:r>
    </w:p>
    <w:bookmarkEnd w:id="15"/>
    <w:bookmarkStart w:id="16" w:name="autoevaluación-rápida"/>
    <w:p>
      <w:pPr>
        <w:pStyle w:val="Heading2"/>
      </w:pPr>
      <w:r>
        <w:t xml:space="preserve">Autoevaluación rápida</w:t>
      </w:r>
    </w:p>
    <w:p>
      <w:pPr>
        <w:pStyle w:val="Compact"/>
        <w:numPr>
          <w:ilvl w:val="0"/>
          <w:numId w:val="1002"/>
        </w:numPr>
      </w:pPr>
      <w:r>
        <w:t xml:space="preserve">Definí personalidad y distinguila del temperamento.</w:t>
      </w:r>
    </w:p>
    <w:p>
      <w:pPr>
        <w:pStyle w:val="Compact"/>
        <w:numPr>
          <w:ilvl w:val="0"/>
          <w:numId w:val="1002"/>
        </w:numPr>
      </w:pPr>
      <w:r>
        <w:t xml:space="preserve">Los cinco factores y qué dicen de la estabilidad.</w:t>
      </w:r>
    </w:p>
    <w:p>
      <w:pPr>
        <w:pStyle w:val="Compact"/>
        <w:numPr>
          <w:ilvl w:val="0"/>
          <w:numId w:val="1002"/>
        </w:numPr>
      </w:pPr>
      <w:r>
        <w:t xml:space="preserve">Asimilación y acomodación de identidad (Whitbourne).</w:t>
      </w:r>
    </w:p>
    <w:p>
      <w:pPr>
        <w:pStyle w:val="Compact"/>
        <w:numPr>
          <w:ilvl w:val="0"/>
          <w:numId w:val="1002"/>
        </w:numPr>
      </w:pPr>
      <w:r>
        <w:t xml:space="preserve">Erikson, Vaillant y Levinson: qué aporta cada uno y sus críticas.</w:t>
      </w:r>
    </w:p>
    <w:p>
      <w:pPr>
        <w:pStyle w:val="Compact"/>
        <w:numPr>
          <w:ilvl w:val="0"/>
          <w:numId w:val="1002"/>
        </w:numPr>
      </w:pPr>
      <w:r>
        <w:t xml:space="preserve">Reloj social y eventos normativos/no normativos.</w:t>
      </w:r>
    </w:p>
    <w:p>
      <w:pPr>
        <w:pStyle w:val="Compact"/>
        <w:numPr>
          <w:ilvl w:val="0"/>
          <w:numId w:val="1002"/>
        </w:numPr>
      </w:pPr>
      <w:r>
        <w:t xml:space="preserve">Bem: cuatro tipos de identidad de género.</w:t>
      </w:r>
    </w:p>
    <w:p>
      <w:pPr>
        <w:pStyle w:val="Compact"/>
        <w:numPr>
          <w:ilvl w:val="0"/>
          <w:numId w:val="1002"/>
        </w:numPr>
      </w:pPr>
      <w:r>
        <w:t xml:space="preserve">¿Qué mostraron los estudios Mills y cuáles son sus límites?</w:t>
      </w:r>
    </w:p>
    <w:bookmarkEnd w:id="16"/>
    <w:bookmarkEnd w:id="17"/>
    <w:sectPr>
      <w:headerReference r:id="rIdHdr1" w:type="default"/>
      <w:footerReference r:id="rIdFtr1" w:type="default"/>
      <w:pgSz w:h="16838" w:w="11906"/>
      <w:pgMar w:bottom="720" w:footer="397" w:gutter="0" w:header="397" w:left="720" w:right="1701" w:top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PieGuia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/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Style w:val="EncabezadoGuia"/>
    </w:pPr>
    <w:r>
      <w:t xml:space="preserve">C21 — Personalidad · Ficha de repaso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line="276" w:lineRule="auto"/>
      <w:jc w:val="both"/>
    </w:pPr>
    <w:rPr>
      <w:rFonts w:ascii="Calibri" w:hAnsi="Calibri"/>
      <w:color w:val="14202B"/>
      <w:sz w:val="22"/>
    </w:rPr>
  </w:style>
  <w:style w:styleId="BodyText" w:type="paragraph">
    <w:name w:val="Body Text"/>
    <w:basedOn w:val="Normal"/>
    <w:link w:val="BodyTextChar"/>
    <w:pPr>
      <w:spacing w:after="120" w:before="180" w:line="276" w:lineRule="auto"/>
    </w:pPr>
    <w:qFormat/>
    <w:rPr>
      <w:rFonts w:ascii="Calibri" w:hAnsi="Calibri"/>
      <w:color w:val="14202B"/>
      <w:sz w:val="22"/>
    </w:rPr>
  </w:style>
  <w:style w:customStyle="1" w:styleId="FirstParagraph" w:type="paragraph">
    <w:name w:val="First Paragraph"/>
    <w:basedOn w:val="BodyText"/>
    <w:next w:val="BodyText"/>
    <w:qFormat/>
    <w:pPr>
      <w:spacing w:after="120" w:line="276" w:lineRule="auto"/>
    </w:pPr>
    <w:rPr>
      <w:rFonts w:ascii="Calibri" w:hAnsi="Calibri"/>
      <w:color w:val="14202B"/>
      <w:sz w:val="22"/>
    </w:rPr>
  </w:style>
  <w:style w:customStyle="1" w:styleId="Compact" w:type="paragraph">
    <w:name w:val="Compact"/>
    <w:basedOn w:val="BodyText"/>
    <w:qFormat/>
    <w:pPr>
      <w:spacing w:after="120" w:before="36" w:line="276" w:lineRule="auto"/>
    </w:pPr>
    <w:rPr>
      <w:rFonts w:ascii="Calibri" w:hAnsi="Calibri"/>
      <w:color w:val="14202B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80" w:before="200"/>
      <w:jc w:val="left"/>
    </w:pPr>
    <w:rPr>
      <w:rFonts w:ascii="Calibri" w:asciiTheme="majorHAnsi" w:cstheme="majorBidi" w:eastAsiaTheme="majorEastAsia" w:hAnsi="Calibri" w:hAnsiTheme="majorHAnsi"/>
      <w:b/>
      <w:bCs/>
      <w:color w:val="0F6B66"/>
      <w:sz w:val="4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left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left"/>
    </w:pPr>
  </w:style>
  <w:style w:styleId="Date" w:type="paragraph">
    <w:name w:val="Date"/>
    <w:next w:val="BodyText"/>
    <w:qFormat/>
    <w:pPr>
      <w:keepNext/>
      <w:keepLines/>
      <w:jc w:val="left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left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80" w:before="280"/>
      <w:jc w:val="left"/>
      <w:outlineLvl w:val="0"/>
    </w:pPr>
    <w:rPr>
      <w:rFonts w:ascii="Calibri" w:asciiTheme="majorHAnsi" w:cstheme="majorBidi" w:eastAsiaTheme="majorEastAsia" w:hAnsi="Calibri" w:hAnsiTheme="majorHAnsi"/>
      <w:b/>
      <w:bCs/>
      <w:color w:val="0F6B66"/>
      <w:sz w:val="36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80" w:before="280"/>
      <w:jc w:val="left"/>
      <w:outlineLvl w:val="1"/>
    </w:pPr>
    <w:rPr>
      <w:rFonts w:ascii="Calibri" w:asciiTheme="majorHAnsi" w:cstheme="majorBidi" w:eastAsiaTheme="majorEastAsia" w:hAnsi="Calibri" w:hAnsiTheme="majorHAnsi"/>
      <w:b/>
      <w:bCs/>
      <w:color w:val="0F6B66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80" w:before="200"/>
      <w:jc w:val="left"/>
      <w:outlineLvl w:val="2"/>
    </w:pPr>
    <w:rPr>
      <w:rFonts w:ascii="Calibri" w:asciiTheme="majorHAnsi" w:cstheme="majorBidi" w:eastAsiaTheme="majorEastAsia" w:hAnsi="Calibri" w:hAnsiTheme="majorHAnsi"/>
      <w:b/>
      <w:bCs/>
      <w:color w:val="0F6B66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80" w:before="200"/>
      <w:jc w:val="left"/>
      <w:outlineLvl w:val="3"/>
    </w:pPr>
    <w:rPr>
      <w:rFonts w:ascii="Calibri" w:asciiTheme="majorHAnsi" w:cstheme="majorBidi" w:eastAsiaTheme="majorEastAsia" w:hAnsi="Calibri" w:hAnsiTheme="majorHAnsi"/>
      <w:i/>
      <w:b/>
      <w:bCs/>
      <w:color w:val="14202B"/>
      <w:sz w:val="22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jc w:val="left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jc w:val="left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jc w:val="left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jc w:val="left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jc w:val="left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pBdr>
        <w:left w:color="C9D1D9" w:space="8" w:sz="12" w:val="single"/>
      </w:pBdr>
      <w:spacing w:after="100" w:before="100"/>
      <w:ind w:firstLine="0" w:left="454" w:right="480"/>
    </w:pPr>
    <w:rPr>
      <w:rFonts w:ascii="Calibri" w:hAnsi="Calibri"/>
      <w:color w:val="5D6B78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  <w:jc w:val="left"/>
    </w:pPr>
    <w:rPr>
      <w:i/>
      <w:color w:val="5D6B78"/>
      <w:sz w:val="18"/>
    </w:rPr>
  </w:style>
  <w:style w:customStyle="1" w:styleId="TableCaption" w:type="paragraph">
    <w:name w:val="Table Caption"/>
    <w:basedOn w:val="Caption"/>
    <w:pPr>
      <w:keepNext/>
      <w:jc w:val="left"/>
    </w:pPr>
    <w:rPr>
      <w:color w:val="5D6B78"/>
      <w:sz w:val="18"/>
    </w:rPr>
  </w:style>
  <w:style w:customStyle="1" w:styleId="ImageCaption" w:type="paragraph">
    <w:name w:val="Image Caption"/>
    <w:basedOn w:val="Caption"/>
    <w:pPr>
      <w:jc w:val="left"/>
    </w:pPr>
    <w:rPr>
      <w:color w:val="5D6B78"/>
      <w:sz w:val="18"/>
    </w:rPr>
  </w:style>
  <w:style w:customStyle="1" w:styleId="Figure" w:type="paragraph">
    <w:name w:val="Figure"/>
    <w:basedOn w:val="Normal"/>
    <w:pPr>
      <w:jc w:val="center"/>
    </w:pPr>
  </w:style>
  <w:style w:customStyle="1" w:styleId="CaptionedFigure" w:type="paragraph">
    <w:name w:val="Captioned Figure"/>
    <w:basedOn w:val="Figure"/>
    <w:pPr>
      <w:keepNext/>
      <w:jc w:val="center"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jc w:val="left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RecuadroIdea" w:type="paragraph">
    <w:name w:val="Recuadro Idea"/>
    <w:basedOn w:val="BodyText"/>
    <w:uiPriority w:val="10"/>
    <w:qFormat/>
    <w:pPr>
      <w:pBdr>
        <w:top w:color="EAF2FC" w:space="4" w:sz="4" w:val="single"/>
        <w:left w:color="2F6DB5" w:space="8" w:sz="24" w:val="single"/>
        <w:bottom w:color="EAF2FC" w:space="4" w:sz="4" w:val="single"/>
        <w:right w:color="EAF2FC" w:space="8" w:sz="4" w:val="single"/>
      </w:pBdr>
      <w:shd w:color="auto" w:fill="EAF2FC" w:val="clear"/>
      <w:spacing w:after="40" w:before="40" w:line="264" w:lineRule="auto"/>
      <w:ind w:left="227" w:right="227"/>
    </w:pPr>
    <w:rPr>
      <w:color w:val="14202B"/>
      <w:sz w:val="21"/>
      <w:szCs w:val="21"/>
    </w:rPr>
  </w:style>
  <w:style w:customStyle="1" w:styleId="RecuadroClave" w:type="paragraph">
    <w:name w:val="Recuadro Clave"/>
    <w:basedOn w:val="BodyText"/>
    <w:uiPriority w:val="10"/>
    <w:qFormat/>
    <w:pPr>
      <w:pBdr>
        <w:top w:color="FFF6DC" w:space="4" w:sz="4" w:val="single"/>
        <w:left w:color="D9A21B" w:space="8" w:sz="24" w:val="single"/>
        <w:bottom w:color="FFF6DC" w:space="4" w:sz="4" w:val="single"/>
        <w:right w:color="FFF6DC" w:space="8" w:sz="4" w:val="single"/>
      </w:pBdr>
      <w:shd w:color="auto" w:fill="FFF6DC" w:val="clear"/>
      <w:spacing w:after="40" w:before="40" w:line="264" w:lineRule="auto"/>
      <w:ind w:left="227" w:right="227"/>
    </w:pPr>
    <w:rPr>
      <w:color w:val="14202B"/>
      <w:sz w:val="21"/>
      <w:szCs w:val="21"/>
    </w:rPr>
  </w:style>
  <w:style w:customStyle="1" w:styleId="RecuadroParcial" w:type="paragraph">
    <w:name w:val="Recuadro Parcial"/>
    <w:basedOn w:val="BodyText"/>
    <w:uiPriority w:val="10"/>
    <w:qFormat/>
    <w:pPr>
      <w:pBdr>
        <w:top w:color="E8F5EC" w:space="4" w:sz="4" w:val="single"/>
        <w:left w:color="2E8B57" w:space="8" w:sz="24" w:val="single"/>
        <w:bottom w:color="E8F5EC" w:space="4" w:sz="4" w:val="single"/>
        <w:right w:color="E8F5EC" w:space="8" w:sz="4" w:val="single"/>
      </w:pBdr>
      <w:shd w:color="auto" w:fill="E8F5EC" w:val="clear"/>
      <w:spacing w:after="40" w:before="40" w:line="264" w:lineRule="auto"/>
      <w:ind w:left="227" w:right="227"/>
    </w:pPr>
    <w:rPr>
      <w:color w:val="14202B"/>
      <w:sz w:val="21"/>
      <w:szCs w:val="21"/>
    </w:rPr>
  </w:style>
  <w:style w:customStyle="1" w:styleId="RecuadroEsqueleto" w:type="paragraph">
    <w:name w:val="Recuadro Esqueleto"/>
    <w:basedOn w:val="BodyText"/>
    <w:uiPriority w:val="10"/>
    <w:qFormat/>
    <w:pPr>
      <w:pBdr>
        <w:top w:color="E3F2F1" w:space="4" w:sz="4" w:val="single"/>
        <w:left w:color="0F6B66" w:space="8" w:sz="24" w:val="single"/>
        <w:bottom w:color="E3F2F1" w:space="4" w:sz="4" w:val="single"/>
        <w:right w:color="E3F2F1" w:space="8" w:sz="4" w:val="single"/>
      </w:pBdr>
      <w:shd w:color="auto" w:fill="E3F2F1" w:val="clear"/>
      <w:spacing w:after="40" w:before="40" w:line="264" w:lineRule="auto"/>
      <w:ind w:left="227" w:right="227"/>
    </w:pPr>
    <w:rPr>
      <w:color w:val="14202B"/>
      <w:sz w:val="21"/>
      <w:szCs w:val="21"/>
    </w:rPr>
  </w:style>
  <w:style w:customStyle="1" w:styleId="RecuadroAtencion" w:type="paragraph">
    <w:name w:val="Recuadro Atencion"/>
    <w:basedOn w:val="BodyText"/>
    <w:uiPriority w:val="10"/>
    <w:qFormat/>
    <w:pPr>
      <w:pBdr>
        <w:top w:color="FDECEA" w:space="4" w:sz="4" w:val="single"/>
        <w:left w:color="C0392B" w:space="8" w:sz="24" w:val="single"/>
        <w:bottom w:color="FDECEA" w:space="4" w:sz="4" w:val="single"/>
        <w:right w:color="FDECEA" w:space="8" w:sz="4" w:val="single"/>
      </w:pBdr>
      <w:shd w:color="auto" w:fill="FDECEA" w:val="clear"/>
      <w:spacing w:after="40" w:before="40" w:line="264" w:lineRule="auto"/>
      <w:ind w:left="227" w:right="227"/>
    </w:pPr>
    <w:rPr>
      <w:color w:val="14202B"/>
      <w:sz w:val="21"/>
      <w:szCs w:val="21"/>
    </w:rPr>
  </w:style>
  <w:style w:customStyle="1" w:styleId="RecuadroComplemento" w:type="paragraph">
    <w:name w:val="Recuadro Complemento"/>
    <w:basedOn w:val="BodyText"/>
    <w:uiPriority w:val="10"/>
    <w:qFormat/>
    <w:pPr>
      <w:pBdr>
        <w:top w:color="F2F4F6" w:space="4" w:sz="4" w:val="single"/>
        <w:left w:color="8A96A3" w:space="8" w:sz="24" w:val="single"/>
        <w:bottom w:color="F2F4F6" w:space="4" w:sz="4" w:val="single"/>
        <w:right w:color="F2F4F6" w:space="8" w:sz="4" w:val="single"/>
      </w:pBdr>
      <w:shd w:color="auto" w:fill="F2F4F6" w:val="clear"/>
      <w:spacing w:after="40" w:before="40" w:line="264" w:lineRule="auto"/>
      <w:ind w:left="227" w:right="227"/>
    </w:pPr>
    <w:rPr>
      <w:color w:val="3D4A57"/>
      <w:sz w:val="21"/>
      <w:szCs w:val="21"/>
    </w:rPr>
  </w:style>
  <w:style w:customStyle="1" w:styleId="RecuadroFuente" w:type="paragraph">
    <w:name w:val="Recuadro Fuente"/>
    <w:basedOn w:val="BodyText"/>
    <w:uiPriority w:val="10"/>
    <w:qFormat/>
    <w:pPr>
      <w:pBdr>
        <w:top w:color="F7F8FA" w:space="4" w:sz="4" w:val="single"/>
        <w:left w:color="C9D1D9" w:space="8" w:sz="24" w:val="single"/>
        <w:bottom w:color="F7F8FA" w:space="4" w:sz="4" w:val="single"/>
        <w:right w:color="F7F8FA" w:space="8" w:sz="4" w:val="single"/>
      </w:pBdr>
      <w:shd w:color="auto" w:fill="F7F8FA" w:val="clear"/>
      <w:spacing w:after="40" w:before="40" w:line="264" w:lineRule="auto"/>
      <w:ind w:left="227" w:right="227"/>
    </w:pPr>
    <w:rPr>
      <w:color w:val="3D4A57"/>
      <w:sz w:val="19"/>
      <w:szCs w:val="19"/>
    </w:rPr>
  </w:style>
  <w:style w:customStyle="1" w:styleId="EncabezadoGuia" w:type="paragraph">
    <w:name w:val="Encabezado guia"/>
    <w:basedOn w:val="Normal"/>
    <w:pPr>
      <w:pBdr>
        <w:bottom w:color="C9D1D9" w:space="2" w:sz="4" w:val="single"/>
      </w:pBdr>
      <w:jc w:val="right"/>
      <w:spacing w:after="0"/>
    </w:pPr>
    <w:rPr>
      <w:color w:val="5D6B78"/>
      <w:sz w:val="17"/>
    </w:rPr>
  </w:style>
  <w:style w:customStyle="1" w:styleId="PieGuia" w:type="paragraph">
    <w:name w:val="Pie guia"/>
    <w:basedOn w:val="Normal"/>
    <w:pPr>
      <w:jc w:val="center"/>
      <w:spacing w:after="0"/>
    </w:pPr>
    <w:rPr>
      <w:color w:val="5D6B78"/>
      <w:sz w:val="17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Hdr1" Target="header1.xml" Type="http://schemas.openxmlformats.org/officeDocument/2006/relationships/header" /><Relationship Id="rIdFtr1" Target="footer1.xml" Type="http://schemas.openxmlformats.org/officeDocument/2006/relationships/footer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2026-10-08T22:29:19Z</dcterms:created>
  <dcterms:modified xsi:type="dcterms:W3CDTF">2026-10-08T22:29:19Z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in_saltos">
    <vt:lpwstr>True</vt:lpwstr>
  </property>
</Properties>
</file>