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5ed846954024e811e9f9b403488f5a9840fbd5c"/>
    <w:p>
      <w:pPr>
        <w:pStyle w:val="Heading1"/>
      </w:pPr>
      <w:r>
        <w:t xml:space="preserve">Transversal — Pérdidas y ganancias en la adultez (clases 17 a 23)</w:t>
      </w:r>
    </w:p>
    <w:p>
      <w:pPr>
        <w:pStyle w:val="RecuadroIdea"/>
      </w:pPr>
      <w:r>
        <w:rPr>
          <w:b/>
          <w:bCs/>
        </w:rPr>
        <w:t xml:space="preserve">Idea-fuerza:</w:t>
      </w:r>
      <w:r>
        <w:t xml:space="preserve"> </w:t>
      </w:r>
      <w:r>
        <w:t xml:space="preserve">En todas las clases del 4.º parcial se repite la misma pregunta:</w:t>
      </w:r>
      <w:r>
        <w:t xml:space="preserve"> </w:t>
      </w:r>
      <w:r>
        <w:rPr>
          <w:b/>
          <w:bCs/>
        </w:rPr>
        <w:t xml:space="preserve">¿qué declina, qué se conserva y qué mejora con la edad, y por qué?</w:t>
      </w:r>
      <w:r>
        <w:t xml:space="preserve"> </w:t>
      </w:r>
      <w:r>
        <w:t xml:space="preserve">La respuesta tiene siempre la misma forma:</w:t>
      </w:r>
      <w:r>
        <w:t xml:space="preserve"> </w:t>
      </w:r>
      <w:r>
        <w:rPr>
          <w:b/>
          <w:bCs/>
        </w:rPr>
        <w:t xml:space="preserve">no hay declive general</w:t>
      </w:r>
      <w:r>
        <w:t xml:space="preserve">; hay</w:t>
      </w:r>
      <w:r>
        <w:t xml:space="preserve"> </w:t>
      </w:r>
      <w:r>
        <w:rPr>
          <w:b/>
          <w:bCs/>
        </w:rPr>
        <w:t xml:space="preserve">pérdidas selectivas</w:t>
      </w:r>
      <w:r>
        <w:t xml:space="preserve"> </w:t>
      </w:r>
      <w:r>
        <w:t xml:space="preserve">(sobre todo las que dependen de la biología y de tareas costosas: memoria episódica, inteligencia fluida, velocidad) y</w:t>
      </w:r>
      <w:r>
        <w:t xml:space="preserve"> </w:t>
      </w:r>
      <w:r>
        <w:rPr>
          <w:b/>
          <w:bCs/>
        </w:rPr>
        <w:t xml:space="preserve">ganancias o conservación</w:t>
      </w:r>
      <w:r>
        <w:t xml:space="preserve"> </w:t>
      </w:r>
      <w:r>
        <w:t xml:space="preserve">(las que dependen de la experiencia y el conocimiento: memoria semántica, inteligencia cristalizada, pensamiento posformal, sabiduría, regulación emocional), con</w:t>
      </w:r>
      <w:r>
        <w:t xml:space="preserve"> </w:t>
      </w:r>
      <w:r>
        <w:rPr>
          <w:b/>
          <w:bCs/>
        </w:rPr>
        <w:t xml:space="preserve">gran variabilidad individual</w:t>
      </w:r>
      <w:r>
        <w:t xml:space="preserve">, efectos de</w:t>
      </w:r>
      <w:r>
        <w:t xml:space="preserve"> </w:t>
      </w:r>
      <w:r>
        <w:rPr>
          <w:b/>
          <w:bCs/>
        </w:rPr>
        <w:t xml:space="preserve">cohorte y cultura</w:t>
      </w:r>
      <w:r>
        <w:t xml:space="preserve"> </w:t>
      </w:r>
      <w:r>
        <w:t xml:space="preserve">y</w:t>
      </w:r>
      <w:r>
        <w:t xml:space="preserve"> </w:t>
      </w:r>
      <w:r>
        <w:rPr>
          <w:b/>
          <w:bCs/>
        </w:rPr>
        <w:t xml:space="preserve">plasticidad</w:t>
      </w:r>
      <w:r>
        <w:t xml:space="preserve"> </w:t>
      </w:r>
      <w:r>
        <w:t xml:space="preserve">(Papalia et al., 2009b, pp. 168-169, 217-218, 428, 461).</w:t>
      </w:r>
    </w:p>
    <w:p>
      <w:pPr>
        <w:pStyle w:val="RecuadroAtencion"/>
      </w:pPr>
      <w:r>
        <w:rPr>
          <w:b/>
          <w:bCs/>
        </w:rPr>
        <w:t xml:space="preserve">Aviso sobre las fuentes:</w:t>
      </w:r>
      <w:r>
        <w:t xml:space="preserve"> </w:t>
      </w:r>
      <w:r>
        <w:t xml:space="preserve">este cuadro sale</w:t>
      </w:r>
      <w:r>
        <w:t xml:space="preserve"> </w:t>
      </w:r>
      <w:r>
        <w:rPr>
          <w:b/>
          <w:bCs/>
        </w:rPr>
        <w:t xml:space="preserve">solo de las guías</w:t>
      </w:r>
      <w:r>
        <w:t xml:space="preserve"> </w:t>
      </w:r>
      <w:r>
        <w:t xml:space="preserve">de las clases 17 a 23 de esta carpeta (que a su vez citan a Papalia et al., 2009b); no agrega contenido nuevo. Las clases 21 a 23 todavía no se dictaron: contrastá con las diapositivas de la cátedra cuando las tengas.</w:t>
      </w:r>
    </w:p>
    <w:bookmarkStart w:id="9" w:name="cuadro-integrador-parte-1-clases-17-a-20"/>
    <w:p>
      <w:pPr>
        <w:pStyle w:val="Heading2"/>
      </w:pPr>
      <w:r>
        <w:t xml:space="preserve">Cuadro integrador (parte 1: clases 17 a 20)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Eje</w:t>
            </w:r>
          </w:p>
        </w:tc>
        <w:tc>
          <w:tcPr/>
          <w:p>
            <w:pPr>
              <w:pStyle w:val="Compact"/>
              <w:jc w:val="left"/>
            </w:pPr>
            <w:r>
              <w:t xml:space="preserve">C17 Memoria</w:t>
            </w:r>
          </w:p>
        </w:tc>
        <w:tc>
          <w:tcPr/>
          <w:p>
            <w:pPr>
              <w:pStyle w:val="Compact"/>
              <w:jc w:val="left"/>
            </w:pPr>
            <w:r>
              <w:t xml:space="preserve">C18 Inteligencia</w:t>
            </w:r>
          </w:p>
        </w:tc>
        <w:tc>
          <w:tcPr/>
          <w:p>
            <w:pPr>
              <w:pStyle w:val="Compact"/>
              <w:jc w:val="left"/>
            </w:pPr>
            <w:r>
              <w:t xml:space="preserve">C19 Trabajo, educación y jubilación</w:t>
            </w:r>
          </w:p>
        </w:tc>
        <w:tc>
          <w:tcPr/>
          <w:p>
            <w:pPr>
              <w:pStyle w:val="Compact"/>
              <w:jc w:val="left"/>
            </w:pPr>
            <w:r>
              <w:t xml:space="preserve">C20 Intimidad y familia</w:t>
            </w:r>
          </w:p>
        </w:tc>
      </w:tr>
      <w:tr>
        <w:tc>
          <w:tcPr/>
          <w:p>
            <w:pPr>
              <w:pStyle w:val="Compact"/>
              <w:jc w:val="left"/>
            </w:pPr>
            <w:r>
              <w:rPr>
                <w:b/>
                <w:bCs/>
              </w:rPr>
              <w:t xml:space="preserve">Qué declina</w:t>
            </w:r>
          </w:p>
        </w:tc>
        <w:tc>
          <w:tcPr/>
          <w:p>
            <w:pPr>
              <w:pStyle w:val="Compact"/>
              <w:jc w:val="left"/>
            </w:pPr>
            <w:r>
              <w:t xml:space="preserve">Memoria episódica; tareas que exigen organizar y elaborar (pp. 163, 161) → C17 §3</w:t>
            </w:r>
          </w:p>
        </w:tc>
        <w:tc>
          <w:tcPr/>
          <w:p>
            <w:pPr>
              <w:pStyle w:val="Compact"/>
              <w:jc w:val="left"/>
            </w:pPr>
            <w:r>
              <w:t xml:space="preserve">Inteligencia fluida / mecánica, en la vejez tardía (pp. 209-211) → C18 §3.2</w:t>
            </w:r>
          </w:p>
        </w:tc>
        <w:tc>
          <w:tcPr/>
          <w:p>
            <w:pPr>
              <w:pStyle w:val="Compact"/>
              <w:jc w:val="left"/>
            </w:pPr>
            <w:r>
              <w:t xml:space="preserve">Participación en el empleo formal tras la jubilación (pp. 292-293) → C19 §5</w:t>
            </w:r>
          </w:p>
        </w:tc>
        <w:tc>
          <w:tcPr/>
          <w:p>
            <w:pPr>
              <w:pStyle w:val="Compact"/>
              <w:jc w:val="left"/>
            </w:pPr>
            <w:r>
              <w:t xml:space="preserve">Tamaño de la red social (p. 314) → C20 §1</w:t>
            </w:r>
          </w:p>
        </w:tc>
      </w:tr>
      <w:tr>
        <w:tc>
          <w:tcPr/>
          <w:p>
            <w:pPr>
              <w:pStyle w:val="Compact"/>
              <w:jc w:val="left"/>
            </w:pPr>
            <w:r>
              <w:rPr>
                <w:b/>
                <w:bCs/>
              </w:rPr>
              <w:t xml:space="preserve">Qué se conserva o mejora</w:t>
            </w:r>
          </w:p>
        </w:tc>
        <w:tc>
          <w:tcPr/>
          <w:p>
            <w:pPr>
              <w:pStyle w:val="Compact"/>
              <w:jc w:val="left"/>
            </w:pPr>
            <w:r>
              <w:t xml:space="preserve">Sensorial, motora, semántica, condicionamiento (pp. 165-168)</w:t>
            </w:r>
          </w:p>
        </w:tc>
        <w:tc>
          <w:tcPr/>
          <w:p>
            <w:pPr>
              <w:pStyle w:val="Compact"/>
              <w:jc w:val="left"/>
            </w:pPr>
            <w:r>
              <w:t xml:space="preserve">Cristalizada / pragmática; pensamiento posformal (pp. 209-213, 238)</w:t>
            </w:r>
          </w:p>
        </w:tc>
        <w:tc>
          <w:tcPr/>
          <w:p>
            <w:pPr>
              <w:pStyle w:val="Compact"/>
              <w:jc w:val="left"/>
            </w:pPr>
            <w:r>
              <w:t xml:space="preserve">Identidad vocacional, adaptabilidad; el ocio complejo sigue al trabajo complejo (pp. 281, 292)</w:t>
            </w:r>
          </w:p>
        </w:tc>
        <w:tc>
          <w:tcPr/>
          <w:p>
            <w:pPr>
              <w:pStyle w:val="Compact"/>
              <w:jc w:val="left"/>
            </w:pPr>
            <w:r>
              <w:t xml:space="preserve">Calidad del apoyo; satisfacción marital (curva en U) (pp. 314-315, 350)</w:t>
            </w:r>
          </w:p>
        </w:tc>
      </w:tr>
      <w:tr>
        <w:tc>
          <w:tcPr/>
          <w:p>
            <w:pPr>
              <w:pStyle w:val="Compact"/>
              <w:jc w:val="left"/>
            </w:pPr>
            <w:r>
              <w:rPr>
                <w:b/>
                <w:bCs/>
              </w:rPr>
              <w:t xml:space="preserve">Por qué</w:t>
            </w:r>
          </w:p>
        </w:tc>
        <w:tc>
          <w:tcPr/>
          <w:p>
            <w:pPr>
              <w:pStyle w:val="Compact"/>
              <w:jc w:val="left"/>
            </w:pPr>
            <w:r>
              <w:t xml:space="preserve">Hipocampo y lóbulos frontales; atención y motivación (pp. 161, 172-173)</w:t>
            </w:r>
          </w:p>
        </w:tc>
        <w:tc>
          <w:tcPr/>
          <w:p>
            <w:pPr>
              <w:pStyle w:val="Compact"/>
              <w:jc w:val="left"/>
            </w:pPr>
            <w:r>
              <w:t xml:space="preserve">Biología (fluida) vs. cultura y experiencia (cristalizada) (pp. 209-210)</w:t>
            </w:r>
          </w:p>
        </w:tc>
        <w:tc>
          <w:tcPr/>
          <w:p>
            <w:pPr>
              <w:pStyle w:val="Compact"/>
              <w:jc w:val="left"/>
            </w:pPr>
            <w:r>
              <w:t xml:space="preserve">Estructura de vida: diferenciada vs. integrada por edades (pp. 271-272)</w:t>
            </w:r>
          </w:p>
        </w:tc>
        <w:tc>
          <w:tcPr/>
          <w:p>
            <w:pPr>
              <w:pStyle w:val="Compact"/>
              <w:jc w:val="left"/>
            </w:pPr>
            <w:r>
              <w:t xml:space="preserve">Selectividad socioemocional: priorizar lo emocional (pp. 314-315)</w:t>
            </w:r>
          </w:p>
        </w:tc>
      </w:tr>
      <w:tr>
        <w:tc>
          <w:tcPr/>
          <w:p>
            <w:pPr>
              <w:pStyle w:val="Compact"/>
              <w:jc w:val="left"/>
            </w:pPr>
            <w:r>
              <w:rPr>
                <w:b/>
                <w:bCs/>
              </w:rPr>
              <w:t xml:space="preserve">Variabilidad, cohorte y cultura</w:t>
            </w:r>
          </w:p>
        </w:tc>
        <w:tc>
          <w:tcPr/>
          <w:p>
            <w:pPr>
              <w:pStyle w:val="Compact"/>
              <w:jc w:val="left"/>
            </w:pPr>
            <w:r>
              <w:t xml:space="preserve">Estudios transversales: efecto de cohorte (p. 156); cultura (pp. 174-175)</w:t>
            </w:r>
          </w:p>
        </w:tc>
        <w:tc>
          <w:tcPr/>
          <w:p>
            <w:pPr>
              <w:pStyle w:val="Compact"/>
              <w:jc w:val="left"/>
            </w:pPr>
            <w:r>
              <w:t xml:space="preserve">Un tercio de los mayores de 70 supera al adulto joven promedio; Seattle (pp. 212-216)</w:t>
            </w:r>
          </w:p>
        </w:tc>
        <w:tc>
          <w:tcPr/>
          <w:p>
            <w:pPr>
              <w:pStyle w:val="Compact"/>
              <w:jc w:val="left"/>
            </w:pPr>
            <w:r>
              <w:t xml:space="preserve">Desigualdades de género, minorías y edad en el trabajo; desempleo (pp. 284-290)</w:t>
            </w:r>
          </w:p>
        </w:tc>
        <w:tc>
          <w:tcPr/>
          <w:p>
            <w:pPr>
              <w:pStyle w:val="Compact"/>
              <w:jc w:val="left"/>
            </w:pPr>
            <w:r>
              <w:t xml:space="preserve">Familia extensa vs. nuclear; cohortes y estilos de vida (pp. 322, 357)</w:t>
            </w:r>
          </w:p>
        </w:tc>
      </w:tr>
      <w:tr>
        <w:tc>
          <w:tcPr/>
          <w:p>
            <w:pPr>
              <w:pStyle w:val="Compact"/>
              <w:jc w:val="left"/>
            </w:pPr>
            <w:r>
              <w:rPr>
                <w:b/>
                <w:bCs/>
              </w:rPr>
              <w:t xml:space="preserve">Plasticidad / intervención</w:t>
            </w:r>
          </w:p>
        </w:tc>
        <w:tc>
          <w:tcPr/>
          <w:p>
            <w:pPr>
              <w:pStyle w:val="Compact"/>
              <w:jc w:val="left"/>
            </w:pPr>
            <w:r>
              <w:t xml:space="preserve">Recursos mnemotécnicos (E-I-E-I-O), pistas (pp. 183-186)</w:t>
            </w:r>
          </w:p>
        </w:tc>
        <w:tc>
          <w:tcPr/>
          <w:p>
            <w:pPr>
              <w:pStyle w:val="Compact"/>
              <w:jc w:val="left"/>
            </w:pPr>
            <w:r>
              <w:t xml:space="preserve">ADEPT y Seattle: el entrenamiento mejora incluso lo fluido (pp. 216-217)</w:t>
            </w:r>
          </w:p>
        </w:tc>
        <w:tc>
          <w:tcPr/>
          <w:p>
            <w:pPr>
              <w:pStyle w:val="Compact"/>
              <w:jc w:val="left"/>
            </w:pPr>
            <w:r>
              <w:t xml:space="preserve">Aprendizaje durante toda la vida; planificar la jubilación (pp. 272-278, 300)</w:t>
            </w:r>
          </w:p>
        </w:tc>
        <w:tc>
          <w:tcPr/>
          <w:p>
            <w:pPr>
              <w:pStyle w:val="Compact"/>
              <w:jc w:val="left"/>
            </w:pPr>
            <w:r>
              <w:t xml:space="preserve">Apoyo comunitario al cuidador (pp. 386-388)</w:t>
            </w:r>
          </w:p>
        </w:tc>
      </w:tr>
    </w:tbl>
    <w:bookmarkEnd w:id="9"/>
    <w:bookmarkStart w:id="10" w:name="cuadro-integrador-parte-2-clases-21-a-23"/>
    <w:p>
      <w:pPr>
        <w:pStyle w:val="Heading2"/>
      </w:pPr>
      <w:r>
        <w:t xml:space="preserve">Cuadro integrador (parte 2: clases 21 a 23)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Eje</w:t>
            </w:r>
          </w:p>
        </w:tc>
        <w:tc>
          <w:tcPr/>
          <w:p>
            <w:pPr>
              <w:pStyle w:val="Compact"/>
              <w:jc w:val="left"/>
            </w:pPr>
            <w:r>
              <w:t xml:space="preserve">C21 Personalidad</w:t>
            </w:r>
          </w:p>
        </w:tc>
        <w:tc>
          <w:tcPr/>
          <w:p>
            <w:pPr>
              <w:pStyle w:val="Compact"/>
              <w:jc w:val="left"/>
            </w:pPr>
            <w:r>
              <w:t xml:space="preserve">C22 Afrontamiento y salud mental</w:t>
            </w:r>
          </w:p>
        </w:tc>
        <w:tc>
          <w:tcPr/>
          <w:p>
            <w:pPr>
              <w:pStyle w:val="Compact"/>
              <w:jc w:val="left"/>
            </w:pPr>
            <w:r>
              <w:t xml:space="preserve">C23 Muerte y duelo</w:t>
            </w:r>
          </w:p>
        </w:tc>
      </w:tr>
      <w:tr>
        <w:tc>
          <w:tcPr/>
          <w:p>
            <w:pPr>
              <w:pStyle w:val="Compact"/>
              <w:jc w:val="left"/>
            </w:pPr>
            <w:r>
              <w:rPr>
                <w:b/>
                <w:bCs/>
              </w:rPr>
              <w:t xml:space="preserve">Qué declina</w:t>
            </w:r>
          </w:p>
        </w:tc>
        <w:tc>
          <w:tcPr/>
          <w:p>
            <w:pPr>
              <w:pStyle w:val="Compact"/>
              <w:jc w:val="left"/>
            </w:pPr>
            <w:r>
              <w:t xml:space="preserve">Neuroticismo, extraversión y apertura bajan un poco (p. 402) → C21 §2.3</w:t>
            </w:r>
          </w:p>
        </w:tc>
        <w:tc>
          <w:tcPr/>
          <w:p>
            <w:pPr>
              <w:pStyle w:val="Compact"/>
              <w:jc w:val="left"/>
            </w:pPr>
            <w:r>
              <w:t xml:space="preserve">Participación y roles sociales (según la desvinculación, con evidencia débil) (pp. 446-447) → C22 §3</w:t>
            </w:r>
          </w:p>
        </w:tc>
        <w:tc>
          <w:tcPr/>
          <w:p>
            <w:pPr>
              <w:pStyle w:val="Compact"/>
              <w:jc w:val="left"/>
            </w:pPr>
            <w:r>
              <w:t xml:space="preserve">Funcionamiento cognitivo cerca de la muerte (caída terminal) (p. 485) → C23 §2</w:t>
            </w:r>
          </w:p>
        </w:tc>
      </w:tr>
      <w:tr>
        <w:tc>
          <w:tcPr/>
          <w:p>
            <w:pPr>
              <w:pStyle w:val="Compact"/>
              <w:jc w:val="left"/>
            </w:pPr>
            <w:r>
              <w:rPr>
                <w:b/>
                <w:bCs/>
              </w:rPr>
              <w:t xml:space="preserve">Qué se conserva o mejora</w:t>
            </w:r>
          </w:p>
        </w:tc>
        <w:tc>
          <w:tcPr/>
          <w:p>
            <w:pPr>
              <w:pStyle w:val="Compact"/>
              <w:jc w:val="left"/>
            </w:pPr>
            <w:r>
              <w:t xml:space="preserve">Rasgos básicos tras los 30; amabilidad y meticulosidad suben; flexibilidad de género (pp. 401-402, 420)</w:t>
            </w:r>
          </w:p>
        </w:tc>
        <w:tc>
          <w:tcPr/>
          <w:p>
            <w:pPr>
              <w:pStyle w:val="Compact"/>
              <w:jc w:val="left"/>
            </w:pPr>
            <w:r>
              <w:t xml:space="preserve">La mayoría goza de buena salud mental; afrontamiento centrado en la emoción más selectivo (pp. 441, 461)</w:t>
            </w:r>
          </w:p>
        </w:tc>
        <w:tc>
          <w:tcPr/>
          <w:p>
            <w:pPr>
              <w:pStyle w:val="Compact"/>
              <w:jc w:val="left"/>
            </w:pPr>
            <w:r>
              <w:t xml:space="preserve">Menor ansiedad ante la muerte en los mayores; resiliencia ante el duelo (pp. 484, 496)</w:t>
            </w:r>
          </w:p>
        </w:tc>
      </w:tr>
      <w:tr>
        <w:tc>
          <w:tcPr/>
          <w:p>
            <w:pPr>
              <w:pStyle w:val="Compact"/>
              <w:jc w:val="left"/>
            </w:pPr>
            <w:r>
              <w:rPr>
                <w:b/>
                <w:bCs/>
              </w:rPr>
              <w:t xml:space="preserve">Por qué</w:t>
            </w:r>
          </w:p>
        </w:tc>
        <w:tc>
          <w:tcPr/>
          <w:p>
            <w:pPr>
              <w:pStyle w:val="Compact"/>
              <w:jc w:val="left"/>
            </w:pPr>
            <w:r>
              <w:t xml:space="preserve">Rasgos heredados + experiencia; equilibrio asimilación-acomodación (pp. 398-399, 406)</w:t>
            </w:r>
          </w:p>
        </w:tc>
        <w:tc>
          <w:tcPr/>
          <w:p>
            <w:pPr>
              <w:pStyle w:val="Compact"/>
              <w:jc w:val="left"/>
            </w:pPr>
            <w:r>
              <w:t xml:space="preserve">Valoración cognitiva de la situación y los recursos (p. 438); continuidad (Atchley) (p. 447)</w:t>
            </w:r>
          </w:p>
        </w:tc>
        <w:tc>
          <w:tcPr/>
          <w:p>
            <w:pPr>
              <w:pStyle w:val="Compact"/>
              <w:jc w:val="left"/>
            </w:pPr>
            <w:r>
              <w:t xml:space="preserve">Integridad vs. desesperación (Erikson); revisión de vida (pp. 484, 517)</w:t>
            </w:r>
          </w:p>
        </w:tc>
      </w:tr>
      <w:tr>
        <w:tc>
          <w:tcPr/>
          <w:p>
            <w:pPr>
              <w:pStyle w:val="Compact"/>
              <w:jc w:val="left"/>
            </w:pPr>
            <w:r>
              <w:rPr>
                <w:b/>
                <w:bCs/>
              </w:rPr>
              <w:t xml:space="preserve">Variabilidad, cohorte y cultura</w:t>
            </w:r>
          </w:p>
        </w:tc>
        <w:tc>
          <w:tcPr/>
          <w:p>
            <w:pPr>
              <w:pStyle w:val="Compact"/>
              <w:jc w:val="left"/>
            </w:pPr>
            <w:r>
              <w:t xml:space="preserve">Estudios Mills: sesgo masculino de las etapas; cohorte (pp. 413-415, 425)</w:t>
            </w:r>
          </w:p>
        </w:tc>
        <w:tc>
          <w:tcPr/>
          <w:p>
            <w:pPr>
              <w:pStyle w:val="Compact"/>
              <w:jc w:val="left"/>
            </w:pPr>
            <w:r>
              <w:t xml:space="preserve">Efectos de cohorte en sustancias y religión; cultura en la violencia y el abuso (pp. 451, 455)</w:t>
            </w:r>
          </w:p>
        </w:tc>
        <w:tc>
          <w:tcPr/>
          <w:p>
            <w:pPr>
              <w:pStyle w:val="Compact"/>
              <w:jc w:val="left"/>
            </w:pPr>
            <w:r>
              <w:t xml:space="preserve">Rituales de luto; cohorte (japoneses americanos); no hay una «mejor» forma de penar (pp. 482, 491)</w:t>
            </w:r>
          </w:p>
        </w:tc>
      </w:tr>
      <w:tr>
        <w:tc>
          <w:tcPr/>
          <w:p>
            <w:pPr>
              <w:pStyle w:val="Compact"/>
              <w:jc w:val="left"/>
            </w:pPr>
            <w:r>
              <w:rPr>
                <w:b/>
                <w:bCs/>
              </w:rPr>
              <w:t xml:space="preserve">Plasticidad / intervención</w:t>
            </w:r>
          </w:p>
        </w:tc>
        <w:tc>
          <w:tcPr/>
          <w:p>
            <w:pPr>
              <w:pStyle w:val="Compact"/>
              <w:jc w:val="left"/>
            </w:pPr>
            <w:r>
              <w:t xml:space="preserve">Whitbourne: estilo equilibrado; Helson: cambio hasta los 50 (pp. 406, 425-427)</w:t>
            </w:r>
          </w:p>
        </w:tc>
        <w:tc>
          <w:tcPr/>
          <w:p>
            <w:pPr>
              <w:pStyle w:val="Compact"/>
              <w:jc w:val="left"/>
            </w:pPr>
            <w:r>
              <w:t xml:space="preserve">Depresión y demencia tratables; fortalezas de Kivnick (pp. 467-468, 471-473)</w:t>
            </w:r>
          </w:p>
        </w:tc>
        <w:tc>
          <w:tcPr/>
          <w:p>
            <w:pPr>
              <w:pStyle w:val="Compact"/>
              <w:jc w:val="left"/>
            </w:pPr>
            <w:r>
              <w:t xml:space="preserve">Terapia de duelo para quienes la necesitan; hospicio; revisión de vida (pp. 496-497, 481-482, 517)</w:t>
            </w:r>
          </w:p>
        </w:tc>
      </w:tr>
    </w:tbl>
    <w:bookmarkEnd w:id="10"/>
    <w:bookmarkStart w:id="11" w:name="Xdfa37e395dfadf05dcb5fb1dd57c7c1da54eef8"/>
    <w:p>
      <w:pPr>
        <w:pStyle w:val="Heading2"/>
      </w:pPr>
      <w:r>
        <w:t xml:space="preserve">Un eje explicado de punta a punta: qué se pierde y qué se gana</w:t>
      </w:r>
    </w:p>
    <w:p>
      <w:pPr>
        <w:pStyle w:val="FirstParagraph"/>
      </w:pPr>
      <w:r>
        <w:rPr>
          <w:b/>
          <w:bCs/>
        </w:rPr>
        <w:t xml:space="preserve">Memoria (C17).</w:t>
      </w:r>
      <w:r>
        <w:t xml:space="preserve"> </w:t>
      </w:r>
      <w:r>
        <w:t xml:space="preserve">Se resiente lo episódico y lo que exige esfuerzo; se conserva lo sensorial, lo motor y lo semántico; el olvido puede ser adaptativo (Papalia et al., 2009b, pp. 168-169, 188-189).</w:t>
      </w:r>
      <w:r>
        <w:t xml:space="preserve"> </w:t>
      </w:r>
      <w:r>
        <w:rPr>
          <w:b/>
          <w:bCs/>
        </w:rPr>
        <w:t xml:space="preserve">Inteligencia (C18).</w:t>
      </w:r>
      <w:r>
        <w:t xml:space="preserve"> </w:t>
      </w:r>
      <w:r>
        <w:t xml:space="preserve">Declinan las capacidades fluidas o mecánicas, mejoran o se mantienen las cristalizadas o pragmáticas; Baltes propone la optimización selectiva con compensación (pp. 209-213).</w:t>
      </w:r>
      <w:r>
        <w:t xml:space="preserve"> </w:t>
      </w:r>
      <w:r>
        <w:rPr>
          <w:b/>
          <w:bCs/>
        </w:rPr>
        <w:t xml:space="preserve">Pensamiento y sabiduría (C18).</w:t>
      </w:r>
      <w:r>
        <w:t xml:space="preserve"> </w:t>
      </w:r>
      <w:r>
        <w:t xml:space="preserve">El pensamiento maduro (posformal) y la sabiduría dependen de la experiencia, no solo de la edad (pp. 238, 250-254).</w:t>
      </w:r>
      <w:r>
        <w:t xml:space="preserve"> </w:t>
      </w:r>
      <w:r>
        <w:rPr>
          <w:b/>
          <w:bCs/>
        </w:rPr>
        <w:t xml:space="preserve">Trabajo y jubilación (C19).</w:t>
      </w:r>
      <w:r>
        <w:t xml:space="preserve"> </w:t>
      </w:r>
      <w:r>
        <w:t xml:space="preserve">La pérdida del rol laboral se compensa con otros roles y con el ocio; el bienestar depende del control de la decisión (pp. 292-306).</w:t>
      </w:r>
      <w:r>
        <w:t xml:space="preserve"> </w:t>
      </w:r>
      <w:r>
        <w:rPr>
          <w:b/>
          <w:bCs/>
        </w:rPr>
        <w:t xml:space="preserve">Vínculos (C20).</w:t>
      </w:r>
      <w:r>
        <w:t xml:space="preserve"> </w:t>
      </w:r>
      <w:r>
        <w:t xml:space="preserve">La red se achica pero se conserva su calidad (convoy y selectividad) (pp. 314-315).</w:t>
      </w:r>
      <w:r>
        <w:t xml:space="preserve"> </w:t>
      </w:r>
      <w:r>
        <w:rPr>
          <w:b/>
          <w:bCs/>
        </w:rPr>
        <w:t xml:space="preserve">Personalidad (C21).</w:t>
      </w:r>
      <w:r>
        <w:t xml:space="preserve"> </w:t>
      </w:r>
      <w:r>
        <w:t xml:space="preserve">Estabilidad de los rasgos y cambios normativos, de eventos y de autoconcepto (pp. 400-417).</w:t>
      </w:r>
      <w:r>
        <w:t xml:space="preserve"> </w:t>
      </w:r>
      <w:r>
        <w:rPr>
          <w:b/>
          <w:bCs/>
        </w:rPr>
        <w:t xml:space="preserve">Afrontamiento (C22).</w:t>
      </w:r>
      <w:r>
        <w:t xml:space="preserve"> </w:t>
      </w:r>
      <w:r>
        <w:t xml:space="preserve">El envejecimiento exitoso es un equilibrio continuidad-cambio; la salud mental se apoya en fortalezas (pp. 447-449, 471-473).</w:t>
      </w:r>
      <w:r>
        <w:t xml:space="preserve"> </w:t>
      </w:r>
      <w:r>
        <w:rPr>
          <w:b/>
          <w:bCs/>
        </w:rPr>
        <w:t xml:space="preserve">Muerte (C23).</w:t>
      </w:r>
      <w:r>
        <w:t xml:space="preserve"> </w:t>
      </w:r>
      <w:r>
        <w:t xml:space="preserve">La muerte propia y ajena se afronta con distintos patrones; el sentido de la vida reduce el miedo (pp. 495-496, 519).</w:t>
      </w:r>
    </w:p>
    <w:bookmarkEnd w:id="11"/>
    <w:bookmarkStart w:id="12" w:name="no-confundir-transversal"/>
    <w:p>
      <w:pPr>
        <w:pStyle w:val="Heading2"/>
      </w:pPr>
      <w:r>
        <w:t xml:space="preserve">No confundir (transversal)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w:t>
            </w:r>
          </w:p>
        </w:tc>
        <w:tc>
          <w:tcPr/>
          <w:p>
            <w:pPr>
              <w:pStyle w:val="Compact"/>
              <w:jc w:val="left"/>
            </w:pPr>
            <w:r>
              <w:t xml:space="preserve">Criterio que los distingue</w:t>
            </w:r>
          </w:p>
        </w:tc>
        <w:tc>
          <w:tcPr/>
          <w:p>
            <w:pPr>
              <w:pStyle w:val="Compact"/>
              <w:jc w:val="left"/>
            </w:pPr>
            <w:r>
              <w:t xml:space="preserve">Dónde está</w:t>
            </w:r>
          </w:p>
        </w:tc>
      </w:tr>
      <w:tr>
        <w:tc>
          <w:tcPr/>
          <w:p>
            <w:pPr>
              <w:pStyle w:val="Compact"/>
              <w:jc w:val="left"/>
            </w:pPr>
            <w:r>
              <w:t xml:space="preserve">Fluida / cristalizada (Horn y Cattell)</w:t>
            </w:r>
          </w:p>
        </w:tc>
        <w:tc>
          <w:tcPr/>
          <w:p>
            <w:pPr>
              <w:pStyle w:val="Compact"/>
              <w:jc w:val="left"/>
            </w:pPr>
            <w:r>
              <w:t xml:space="preserve">Información novedosa y biología / conocimiento acumulado y cultura</w:t>
            </w:r>
          </w:p>
        </w:tc>
        <w:tc>
          <w:tcPr/>
          <w:p>
            <w:pPr>
              <w:pStyle w:val="Compact"/>
              <w:jc w:val="left"/>
            </w:pPr>
            <w:r>
              <w:t xml:space="preserve">C18 §3.2 (pp. 209-210)</w:t>
            </w:r>
          </w:p>
        </w:tc>
      </w:tr>
      <w:tr>
        <w:tc>
          <w:tcPr/>
          <w:p>
            <w:pPr>
              <w:pStyle w:val="Compact"/>
              <w:jc w:val="left"/>
            </w:pPr>
            <w:r>
              <w:t xml:space="preserve">Mecánica / pragmática (Baltes)</w:t>
            </w:r>
          </w:p>
        </w:tc>
        <w:tc>
          <w:tcPr/>
          <w:p>
            <w:pPr>
              <w:pStyle w:val="Compact"/>
              <w:jc w:val="left"/>
            </w:pPr>
            <w:r>
              <w:t xml:space="preserve">Parientes de las anteriores, pero con compensación y plasticidad</w:t>
            </w:r>
          </w:p>
        </w:tc>
        <w:tc>
          <w:tcPr/>
          <w:p>
            <w:pPr>
              <w:pStyle w:val="Compact"/>
              <w:jc w:val="left"/>
            </w:pPr>
            <w:r>
              <w:t xml:space="preserve">C18 §3.2 (pp. 211-213)</w:t>
            </w:r>
          </w:p>
        </w:tc>
      </w:tr>
      <w:tr>
        <w:tc>
          <w:tcPr/>
          <w:p>
            <w:pPr>
              <w:pStyle w:val="Compact"/>
              <w:jc w:val="left"/>
            </w:pPr>
            <w:r>
              <w:t xml:space="preserve">Episódica / semántica</w:t>
            </w:r>
          </w:p>
        </w:tc>
        <w:tc>
          <w:tcPr/>
          <w:p>
            <w:pPr>
              <w:pStyle w:val="Compact"/>
              <w:jc w:val="left"/>
            </w:pPr>
            <w:r>
              <w:t xml:space="preserve">«Yo recuerdo» (se debilita) / «yo sé» (se conserva)</w:t>
            </w:r>
          </w:p>
        </w:tc>
        <w:tc>
          <w:tcPr/>
          <w:p>
            <w:pPr>
              <w:pStyle w:val="Compact"/>
              <w:jc w:val="left"/>
            </w:pPr>
            <w:r>
              <w:t xml:space="preserve">C17 §3.4 (pp. 163-164)</w:t>
            </w:r>
          </w:p>
        </w:tc>
      </w:tr>
      <w:tr>
        <w:tc>
          <w:tcPr/>
          <w:p>
            <w:pPr>
              <w:pStyle w:val="Compact"/>
              <w:jc w:val="left"/>
            </w:pPr>
            <w:r>
              <w:t xml:space="preserve">Convoy / selectividad socioemocional</w:t>
            </w:r>
          </w:p>
        </w:tc>
        <w:tc>
          <w:tcPr/>
          <w:p>
            <w:pPr>
              <w:pStyle w:val="Compact"/>
              <w:jc w:val="left"/>
            </w:pPr>
            <w:r>
              <w:t xml:space="preserve">Quiénes nos acompañan / por qué elegimos</w:t>
            </w:r>
          </w:p>
        </w:tc>
        <w:tc>
          <w:tcPr/>
          <w:p>
            <w:pPr>
              <w:pStyle w:val="Compact"/>
              <w:jc w:val="left"/>
            </w:pPr>
            <w:r>
              <w:t xml:space="preserve">C20 §1 (pp. 314-315)</w:t>
            </w:r>
          </w:p>
        </w:tc>
      </w:tr>
      <w:tr>
        <w:tc>
          <w:tcPr/>
          <w:p>
            <w:pPr>
              <w:pStyle w:val="Compact"/>
              <w:jc w:val="left"/>
            </w:pPr>
            <w:r>
              <w:t xml:space="preserve">Desvinculación / actividad / continuidad</w:t>
            </w:r>
          </w:p>
        </w:tc>
        <w:tc>
          <w:tcPr/>
          <w:p>
            <w:pPr>
              <w:pStyle w:val="Compact"/>
              <w:jc w:val="left"/>
            </w:pPr>
            <w:r>
              <w:t xml:space="preserve">Retiro universal / más actividad / equilibrio continuidad-cambio</w:t>
            </w:r>
          </w:p>
        </w:tc>
        <w:tc>
          <w:tcPr/>
          <w:p>
            <w:pPr>
              <w:pStyle w:val="Compact"/>
              <w:jc w:val="left"/>
            </w:pPr>
            <w:r>
              <w:t xml:space="preserve">C22 §3 (pp. 446-448)</w:t>
            </w:r>
          </w:p>
        </w:tc>
      </w:tr>
      <w:tr>
        <w:tc>
          <w:tcPr/>
          <w:p>
            <w:pPr>
              <w:pStyle w:val="Compact"/>
              <w:jc w:val="left"/>
            </w:pPr>
            <w:r>
              <w:t xml:space="preserve">Asimilación / acomodación de identidad</w:t>
            </w:r>
          </w:p>
        </w:tc>
        <w:tc>
          <w:tcPr/>
          <w:p>
            <w:pPr>
              <w:pStyle w:val="Compact"/>
              <w:jc w:val="left"/>
            </w:pPr>
            <w:r>
              <w:t xml:space="preserve">Mantener la autoimagen / cambiarla (el exceso de cualquiera es poco saludable)</w:t>
            </w:r>
          </w:p>
        </w:tc>
        <w:tc>
          <w:tcPr/>
          <w:p>
            <w:pPr>
              <w:pStyle w:val="Compact"/>
              <w:jc w:val="left"/>
            </w:pPr>
            <w:r>
              <w:t xml:space="preserve">C21 §2.4 y C22 §3 (pp. 406, 449)</w:t>
            </w:r>
          </w:p>
        </w:tc>
      </w:tr>
      <w:tr>
        <w:tc>
          <w:tcPr/>
          <w:p>
            <w:pPr>
              <w:pStyle w:val="Compact"/>
              <w:jc w:val="left"/>
            </w:pPr>
            <w:r>
              <w:t xml:space="preserve">Enfocado en el problema / en la emoción</w:t>
            </w:r>
          </w:p>
        </w:tc>
        <w:tc>
          <w:tcPr/>
          <w:p>
            <w:pPr>
              <w:pStyle w:val="Compact"/>
              <w:jc w:val="left"/>
            </w:pPr>
            <w:r>
              <w:t xml:space="preserve">Cambiar la situación / manejar la emoción (ninguno es bueno en sí)</w:t>
            </w:r>
          </w:p>
        </w:tc>
        <w:tc>
          <w:tcPr/>
          <w:p>
            <w:pPr>
              <w:pStyle w:val="Compact"/>
              <w:jc w:val="left"/>
            </w:pPr>
            <w:r>
              <w:t xml:space="preserve">C22 §2 (p. 439)</w:t>
            </w:r>
          </w:p>
        </w:tc>
      </w:tr>
      <w:tr>
        <w:tc>
          <w:tcPr/>
          <w:p>
            <w:pPr>
              <w:pStyle w:val="Compact"/>
              <w:jc w:val="left"/>
            </w:pPr>
            <w:r>
              <w:t xml:space="preserve">Pena / duelo / luto</w:t>
            </w:r>
          </w:p>
        </w:tc>
        <w:tc>
          <w:tcPr/>
          <w:p>
            <w:pPr>
              <w:pStyle w:val="Compact"/>
              <w:jc w:val="left"/>
            </w:pPr>
            <w:r>
              <w:t xml:space="preserve">Emoción / pérdida y ajuste / conducta culturalmente aceptada</w:t>
            </w:r>
          </w:p>
        </w:tc>
        <w:tc>
          <w:tcPr/>
          <w:p>
            <w:pPr>
              <w:pStyle w:val="Compact"/>
              <w:jc w:val="left"/>
            </w:pPr>
            <w:r>
              <w:t xml:space="preserve">C23 §3 (p. 487)</w:t>
            </w:r>
          </w:p>
        </w:tc>
      </w:tr>
      <w:tr>
        <w:tc>
          <w:tcPr/>
          <w:p>
            <w:pPr>
              <w:pStyle w:val="Compact"/>
              <w:jc w:val="left"/>
            </w:pPr>
            <w:r>
              <w:t xml:space="preserve">Evento normativo / no normativo; reloj social</w:t>
            </w:r>
          </w:p>
        </w:tc>
        <w:tc>
          <w:tcPr/>
          <w:p>
            <w:pPr>
              <w:pStyle w:val="Compact"/>
              <w:jc w:val="left"/>
            </w:pPr>
            <w:r>
              <w:t xml:space="preserve">Esperado / inesperado; en tiempo o fuera de tiempo</w:t>
            </w:r>
          </w:p>
        </w:tc>
        <w:tc>
          <w:tcPr/>
          <w:p>
            <w:pPr>
              <w:pStyle w:val="Compact"/>
              <w:jc w:val="left"/>
            </w:pPr>
            <w:r>
              <w:t xml:space="preserve">C21 §2.6 (p. 416)</w:t>
            </w:r>
          </w:p>
        </w:tc>
      </w:tr>
      <w:tr>
        <w:tc>
          <w:tcPr/>
          <w:p>
            <w:pPr>
              <w:pStyle w:val="Compact"/>
              <w:jc w:val="left"/>
            </w:pPr>
            <w:r>
              <w:t xml:space="preserve">Efecto de cohorte / efecto de la edad</w:t>
            </w:r>
          </w:p>
        </w:tc>
        <w:tc>
          <w:tcPr/>
          <w:p>
            <w:pPr>
              <w:pStyle w:val="Compact"/>
              <w:jc w:val="left"/>
            </w:pPr>
            <w:r>
              <w:t xml:space="preserve">Generación / maduración o envejecimiento (estudios transversales confunden ambos)</w:t>
            </w:r>
          </w:p>
        </w:tc>
        <w:tc>
          <w:tcPr/>
          <w:p>
            <w:pPr>
              <w:pStyle w:val="Compact"/>
              <w:jc w:val="left"/>
            </w:pPr>
            <w:r>
              <w:t xml:space="preserve">C17 §2 (p. 156); C18 §3.3 (pp. 215-216)</w:t>
            </w:r>
          </w:p>
        </w:tc>
      </w:tr>
    </w:tbl>
    <w:bookmarkEnd w:id="12"/>
    <w:bookmarkStart w:id="13" w:name="preguntas-integradoras"/>
    <w:p>
      <w:pPr>
        <w:pStyle w:val="Heading2"/>
      </w:pPr>
      <w:r>
        <w:t xml:space="preserve">Preguntas integradoras</w:t>
      </w:r>
    </w:p>
    <w:p>
      <w:pPr>
        <w:pStyle w:val="FirstParagraph"/>
      </w:pPr>
      <w:r>
        <w:rPr>
          <w:b/>
          <w:bCs/>
        </w:rPr>
        <w:t xml:space="preserve">I1. «No hay declive general con la edad». Argumentá con ejemplos de tres clases.</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cambio es multidimensional y multidireccional (Baltes).</w:t>
      </w:r>
    </w:p>
    <w:p>
      <w:pPr>
        <w:pStyle w:val="RecuadroEsqueleto"/>
      </w:pPr>
      <w:r>
        <w:t xml:space="preserve">2. </w:t>
      </w:r>
      <w:r>
        <w:rPr>
          <w:b/>
          <w:bCs/>
        </w:rPr>
        <w:t xml:space="preserve">Memoria (C17):</w:t>
      </w:r>
      <w:r>
        <w:t xml:space="preserve"> </w:t>
      </w:r>
      <w:r>
        <w:t xml:space="preserve">declina la episódica, se conserva la semántica (Papalia et al., 2009b, pp. 163-168).</w:t>
      </w:r>
    </w:p>
    <w:p>
      <w:pPr>
        <w:pStyle w:val="RecuadroEsqueleto"/>
      </w:pPr>
      <w:r>
        <w:t xml:space="preserve">3. </w:t>
      </w:r>
      <w:r>
        <w:rPr>
          <w:b/>
          <w:bCs/>
        </w:rPr>
        <w:t xml:space="preserve">Inteligencia (C18):</w:t>
      </w:r>
      <w:r>
        <w:t xml:space="preserve"> </w:t>
      </w:r>
      <w:r>
        <w:t xml:space="preserve">declina la fluida, se mantiene la cristalizada (pp. 209-210).</w:t>
      </w:r>
    </w:p>
    <w:p>
      <w:pPr>
        <w:pStyle w:val="RecuadroEsqueleto"/>
      </w:pPr>
      <w:r>
        <w:t xml:space="preserve">4. </w:t>
      </w:r>
      <w:r>
        <w:rPr>
          <w:b/>
          <w:bCs/>
        </w:rPr>
        <w:t xml:space="preserve">Un tercer ejemplo:</w:t>
      </w:r>
      <w:r>
        <w:t xml:space="preserve"> </w:t>
      </w:r>
      <w:r>
        <w:t xml:space="preserve">convoy y selectividad (C20) o resiliencia ante el duelo (C23) (pp. 314-315, 496).</w:t>
      </w:r>
    </w:p>
    <w:p>
      <w:pPr>
        <w:pStyle w:val="RecuadroEsqueleto"/>
      </w:pPr>
      <w:r>
        <w:t xml:space="preserve">5. </w:t>
      </w:r>
      <w:r>
        <w:rPr>
          <w:b/>
          <w:bCs/>
        </w:rPr>
        <w:t xml:space="preserve">Cierre:</w:t>
      </w:r>
      <w:r>
        <w:t xml:space="preserve"> </w:t>
      </w:r>
      <w:r>
        <w:t xml:space="preserve">variabilidad individual, cohorte y plasticidad.</w:t>
      </w:r>
    </w:p>
    <w:p>
      <w:pPr>
        <w:pStyle w:val="BodyText"/>
      </w:pPr>
      <w:r>
        <w:rPr>
          <w:i/>
          <w:iCs/>
        </w:rPr>
        <w:t xml:space="preserve">Respuesta modelo (≈ 7 renglones):</w:t>
      </w:r>
      <w:r>
        <w:t xml:space="preserve"> </w:t>
      </w:r>
      <w:r>
        <w:t xml:space="preserve">Con la edad no hay declive general sino cambios en distintas direcciones. En la memoria, declina la episódica (con déficit para recordar el origen) pero se conservan la sensorial, la motora y la semántica (pp. 163-168). En la inteligencia, declinan las capacidades fluidas o mecánicas, mientras que las cristalizadas o pragmáticas se mantienen o mejoran (pp. 209-213). En las relaciones, la red se reduce pero se conserva la calidad del apoyo porque los mayores priorizan lo emocional (pp. 314-315). Además, hay gran variabilidad individual, efectos de cohorte y plasticidad: el entrenamiento mejora incluso lo fluido (pp. 216-217) (Papalia et al., 2009b).</w:t>
      </w:r>
    </w:p>
    <w:p>
      <w:pPr>
        <w:pStyle w:val="BodyText"/>
      </w:pPr>
      <w:r>
        <w:rPr>
          <w:b/>
          <w:bCs/>
        </w:rPr>
        <w:t xml:space="preserve">I2. Compará el modelo de continuidad (C22) con la teoría de la selectividad socioemocional (C20) y el equilibrio de asimilación-acomodación (C21).</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los tres son modelos de equilibrio, no de declive.</w:t>
      </w:r>
    </w:p>
    <w:p>
      <w:pPr>
        <w:pStyle w:val="RecuadroEsqueleto"/>
      </w:pPr>
      <w:r>
        <w:t xml:space="preserve">2. </w:t>
      </w:r>
      <w:r>
        <w:rPr>
          <w:b/>
          <w:bCs/>
        </w:rPr>
        <w:t xml:space="preserve">Continuidad (Atchley):</w:t>
      </w:r>
      <w:r>
        <w:t xml:space="preserve"> </w:t>
      </w:r>
      <w:r>
        <w:t xml:space="preserve">equilibrio entre continuidad y cambio en estructuras internas y externas (Papalia et al., 2009b, p. 447).</w:t>
      </w:r>
    </w:p>
    <w:p>
      <w:pPr>
        <w:pStyle w:val="RecuadroEsqueleto"/>
      </w:pPr>
      <w:r>
        <w:t xml:space="preserve">3. </w:t>
      </w:r>
      <w:r>
        <w:rPr>
          <w:b/>
          <w:bCs/>
        </w:rPr>
        <w:t xml:space="preserve">Selectividad (Carstensen):</w:t>
      </w:r>
      <w:r>
        <w:t xml:space="preserve"> </w:t>
      </w:r>
      <w:r>
        <w:t xml:space="preserve">priorizar lo emocional al percibir poco tiempo (pp. 314-315).</w:t>
      </w:r>
    </w:p>
    <w:p>
      <w:pPr>
        <w:pStyle w:val="RecuadroEsqueleto"/>
      </w:pPr>
      <w:r>
        <w:t xml:space="preserve">4. </w:t>
      </w:r>
      <w:r>
        <w:rPr>
          <w:b/>
          <w:bCs/>
        </w:rPr>
        <w:t xml:space="preserve">Whitbourne:</w:t>
      </w:r>
      <w:r>
        <w:t xml:space="preserve"> </w:t>
      </w:r>
      <w:r>
        <w:t xml:space="preserve">asimilar y acomodar la identidad; estilo equilibrado (pp. 406, 449).</w:t>
      </w:r>
    </w:p>
    <w:p>
      <w:pPr>
        <w:pStyle w:val="RecuadroEsqueleto"/>
      </w:pPr>
      <w:r>
        <w:t xml:space="preserve">5. </w:t>
      </w:r>
      <w:r>
        <w:rPr>
          <w:b/>
          <w:bCs/>
        </w:rPr>
        <w:t xml:space="preserve">Cierre:</w:t>
      </w:r>
      <w:r>
        <w:t xml:space="preserve"> </w:t>
      </w:r>
      <w:r>
        <w:t xml:space="preserve">en los tres, la persona regula activamente su desarrollo.</w:t>
      </w:r>
    </w:p>
    <w:p>
      <w:pPr>
        <w:pStyle w:val="BodyText"/>
      </w:pPr>
      <w:r>
        <w:rPr>
          <w:i/>
          <w:iCs/>
        </w:rPr>
        <w:t xml:space="preserve">Respuesta modelo (≈ 7 renglones):</w:t>
      </w:r>
      <w:r>
        <w:t xml:space="preserve"> </w:t>
      </w:r>
      <w:r>
        <w:t xml:space="preserve">Los tres modelos ven el envejecimiento como un equilibrio activo y no como declive. Atchley propone que los mayores buscan mantener continuidad con su pasado (estructuras internas y externas) con un grado satisfactorio de cambio (p. 447). La selectividad socioemocional (Carstensen) sostiene que, al percibir que queda poco tiempo, se eligen vínculos emocionalmente gratificantes y se reduce la red (pp. 314-315). Whitbourne describe cómo se equilibran asimilación y acomodación para sostener la identidad; el estilo equilibrado es el más adaptativo (pp. 406, 449). En los tres, la persona regula su propio desarrollo (Papalia et al., 2009b).</w:t>
      </w:r>
    </w:p>
    <w:p>
      <w:pPr>
        <w:pStyle w:val="BodyText"/>
      </w:pPr>
      <w:r>
        <w:rPr>
          <w:b/>
          <w:bCs/>
        </w:rPr>
        <w:t xml:space="preserve">I3. ¿Cómo se afronta la pérdida a lo largo de la adultez? Relacioná el afrontamiento (C22), el duelo (C23) y la personalidad (C21).</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afrontar es un proceso de valoración y revaloración; el duelo muestra que no hay un solo modo sano.</w:t>
      </w:r>
    </w:p>
    <w:p>
      <w:pPr>
        <w:pStyle w:val="RecuadroEsqueleto"/>
      </w:pPr>
      <w:r>
        <w:t xml:space="preserve">2. </w:t>
      </w:r>
      <w:r>
        <w:rPr>
          <w:b/>
          <w:bCs/>
        </w:rPr>
        <w:t xml:space="preserve">Lazarus:</w:t>
      </w:r>
      <w:r>
        <w:t xml:space="preserve"> </w:t>
      </w:r>
      <w:r>
        <w:t xml:space="preserve">problema vs. emoción; ninguna es mala en sí (Papalia et al., 2009b, pp. 438-439).</w:t>
      </w:r>
    </w:p>
    <w:p>
      <w:pPr>
        <w:pStyle w:val="RecuadroEsqueleto"/>
      </w:pPr>
      <w:r>
        <w:t xml:space="preserve">3. </w:t>
      </w:r>
      <w:r>
        <w:rPr>
          <w:b/>
          <w:bCs/>
        </w:rPr>
        <w:t xml:space="preserve">Duelo:</w:t>
      </w:r>
      <w:r>
        <w:t xml:space="preserve"> </w:t>
      </w:r>
      <w:r>
        <w:t xml:space="preserve">resiliencia 46 % en el estudio CLOC; los mitos de Wortman y Silver (pp. 493-496).</w:t>
      </w:r>
    </w:p>
    <w:p>
      <w:pPr>
        <w:pStyle w:val="RecuadroEsqueleto"/>
      </w:pPr>
      <w:r>
        <w:t xml:space="preserve">4. </w:t>
      </w:r>
      <w:r>
        <w:rPr>
          <w:b/>
          <w:bCs/>
        </w:rPr>
        <w:t xml:space="preserve">Personalidad:</w:t>
      </w:r>
      <w:r>
        <w:t xml:space="preserve"> </w:t>
      </w:r>
      <w:r>
        <w:t xml:space="preserve">Vaillant y los mecanismos de defensa; las personas con práctica en perder afrontan mejor (pp. 437, 499).</w:t>
      </w:r>
    </w:p>
    <w:p>
      <w:pPr>
        <w:pStyle w:val="RecuadroEsqueleto"/>
      </w:pPr>
      <w:r>
        <w:t xml:space="preserve">5. </w:t>
      </w:r>
      <w:r>
        <w:rPr>
          <w:b/>
          <w:bCs/>
        </w:rPr>
        <w:t xml:space="preserve">Cierre:</w:t>
      </w:r>
      <w:r>
        <w:t xml:space="preserve"> </w:t>
      </w:r>
      <w:r>
        <w:t xml:space="preserve">apoyo social y sentido de vida.</w:t>
      </w:r>
    </w:p>
    <w:p>
      <w:pPr>
        <w:pStyle w:val="BodyText"/>
      </w:pPr>
      <w:r>
        <w:rPr>
          <w:i/>
          <w:iCs/>
        </w:rPr>
        <w:t xml:space="preserve">Respuesta modelo (≈ 7 renglones):</w:t>
      </w:r>
      <w:r>
        <w:t xml:space="preserve"> </w:t>
      </w:r>
      <w:r>
        <w:t xml:space="preserve">Para Lazarus el afrontamiento es un proceso dinámico de valoración de la situación y los recursos, que puede enfocarse en el problema o en la emoción; ninguna estrategia es mala en sí (pp. 438-439). El duelo ilustra esa variedad: el estudio CLOC halló que lo más frecuente en viudos mayores es la resiliencia (46 %) y que el duelo «clásico» es raro (11 %), y Wortman y Silver mostraron que no todos necesitan «trabajar» la pérdida (pp. 493-496). La personalidad interviene: los mecanismos maduros de Vaillant se asocian con mejor ajuste (p. 437), y quienes tienen práctica en enfrentar pérdidas lo hacen mejor (p. 499) (Papalia et al., 2009b).</w:t>
      </w:r>
    </w:p>
    <w:bookmarkEnd w:id="13"/>
    <w:bookmarkStart w:id="17" w:name="diagrama"/>
    <w:p>
      <w:pPr>
        <w:pStyle w:val="Heading2"/>
      </w:pPr>
      <w:r>
        <w:t xml:space="preserve">Diagrama</w:t>
      </w:r>
    </w:p>
    <w:p>
      <w:pPr>
        <w:pStyle w:val="FirstParagraph"/>
      </w:pPr>
      <w:r>
        <w:drawing>
          <wp:inline>
            <wp:extent cx="5759999" cy="1138775"/>
            <wp:effectExtent b="0" l="0" r="0" t="0"/>
            <wp:docPr descr="Diagrama 01" title="" id="15" name="Picture"/>
            <a:graphic>
              <a:graphicData uri="http://schemas.openxmlformats.org/drawingml/2006/picture">
                <pic:pic>
                  <pic:nvPicPr>
                    <pic:cNvPr descr="C:/Users/Fmendezcasariego/OneDrive/Carpetas/Educación/Universidad/Favaloro/Psicología/2do%20Año/Psicología%20Evolutiva/3_Guias_de_Estudio/_media/Transversal_PerdidasYGanancias_01.png" id="16" name="Picture"/>
                    <pic:cNvPicPr>
                      <a:picLocks noChangeArrowheads="1" noChangeAspect="1"/>
                    </pic:cNvPicPr>
                  </pic:nvPicPr>
                  <pic:blipFill>
                    <a:blip r:embed="rId14"/>
                    <a:stretch>
                      <a:fillRect/>
                    </a:stretch>
                  </pic:blipFill>
                  <pic:spPr bwMode="auto">
                    <a:xfrm>
                      <a:off x="0" y="0"/>
                      <a:ext cx="5759999" cy="1138775"/>
                    </a:xfrm>
                    <a:prstGeom prst="rect">
                      <a:avLst/>
                    </a:prstGeom>
                    <a:noFill/>
                    <a:ln w="9525">
                      <a:noFill/>
                      <a:headEnd/>
                      <a:tailEnd/>
                    </a:ln>
                  </pic:spPr>
                </pic:pic>
              </a:graphicData>
            </a:graphic>
          </wp:inline>
        </w:drawing>
      </w:r>
    </w:p>
    <w:bookmarkEnd w:id="17"/>
    <w:bookmarkStart w:id="18" w:name="referencias"/>
    <w:p>
      <w:pPr>
        <w:pStyle w:val="Heading2"/>
      </w:pPr>
      <w:r>
        <w:t xml:space="preserve">Referencias</w:t>
      </w:r>
    </w:p>
    <w:p>
      <w:pPr>
        <w:pStyle w:val="FirstParagraph"/>
      </w:pPr>
      <w:r>
        <w:t xml:space="preserve">Papalia, D. E., Sterns, H. L., Feldman, R. D., &amp; Camp, C. J. (2009b).</w:t>
      </w:r>
      <w:r>
        <w:t xml:space="preserve"> </w:t>
      </w:r>
      <w:r>
        <w:rPr>
          <w:i/>
          <w:iCs/>
        </w:rPr>
        <w:t xml:space="preserve">Desarrollo del adulto y vejez</w:t>
      </w:r>
      <w:r>
        <w:t xml:space="preserve">. McGraw Hill Interamericana.</w:t>
      </w:r>
    </w:p>
    <w:bookmarkEnd w:id="18"/>
    <w:bookmarkEnd w:id="19"/>
    <w:sectPr>
      <w:headerReference r:id="rIdHdr1" w:type="default"/>
      <w:footerReference r:id="rIdFtr1" w:type="default"/>
      <w:pgSz w:h="16838" w:w="11906"/>
      <w:pgMar w:bottom="720" w:footer="397" w:gutter="0" w:header="397" w:left="720" w:right="1701"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PieGuia"/>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EncabezadoGuia"/>
    </w:pPr>
    <w:r>
      <w:t xml:space="preserve">Transversal — Pérdidas y ganancias en la adultez (clases 17 a 23)</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Calibri" w:hAnsi="Calibri"/>
      <w:color w:val="14202B"/>
      <w:sz w:val="22"/>
    </w:rPr>
  </w:style>
  <w:style w:styleId="BodyText" w:type="paragraph">
    <w:name w:val="Body Text"/>
    <w:basedOn w:val="Normal"/>
    <w:link w:val="BodyTextChar"/>
    <w:pPr>
      <w:spacing w:after="120" w:before="180" w:line="276" w:lineRule="auto"/>
    </w:pPr>
    <w:qFormat/>
    <w:rPr>
      <w:rFonts w:ascii="Calibri" w:hAnsi="Calibri"/>
      <w:color w:val="14202B"/>
      <w:sz w:val="22"/>
    </w:rPr>
  </w:style>
  <w:style w:customStyle="1" w:styleId="FirstParagraph" w:type="paragraph">
    <w:name w:val="First Paragraph"/>
    <w:basedOn w:val="BodyText"/>
    <w:next w:val="BodyText"/>
    <w:qFormat/>
    <w:pPr>
      <w:spacing w:after="120" w:line="276" w:lineRule="auto"/>
    </w:pPr>
    <w:rPr>
      <w:rFonts w:ascii="Calibri" w:hAnsi="Calibri"/>
      <w:color w:val="14202B"/>
      <w:sz w:val="22"/>
    </w:rPr>
  </w:style>
  <w:style w:customStyle="1" w:styleId="Compact" w:type="paragraph">
    <w:name w:val="Compact"/>
    <w:basedOn w:val="BodyText"/>
    <w:qFormat/>
    <w:pPr>
      <w:spacing w:after="120" w:before="36" w:line="276" w:lineRule="auto"/>
    </w:pPr>
    <w:rPr>
      <w:rFonts w:ascii="Calibri" w:hAnsi="Calibri"/>
      <w:color w:val="14202B"/>
      <w:sz w:val="22"/>
    </w:rPr>
  </w:style>
  <w:style w:styleId="Title" w:type="paragraph">
    <w:name w:val="Title"/>
    <w:basedOn w:val="Normal"/>
    <w:next w:val="BodyText"/>
    <w:qFormat/>
    <w:pPr>
      <w:keepNext/>
      <w:keepLines/>
      <w:spacing w:after="80" w:before="200"/>
      <w:jc w:val="left"/>
    </w:pPr>
    <w:rPr>
      <w:rFonts w:ascii="Calibri" w:asciiTheme="majorHAnsi" w:cstheme="majorBidi" w:eastAsiaTheme="majorEastAsia" w:hAnsi="Calibri" w:hAnsiTheme="majorHAnsi"/>
      <w:b/>
      <w:bCs/>
      <w:color w:val="0F6B66"/>
      <w:sz w:val="44"/>
      <w:szCs w:val="36"/>
    </w:rPr>
  </w:style>
  <w:style w:styleId="Subtitle" w:type="paragraph">
    <w:name w:val="Subtitle"/>
    <w:basedOn w:val="Title"/>
    <w:next w:val="BodyText"/>
    <w:qFormat/>
    <w:pPr>
      <w:keepNext/>
      <w:keepLines/>
      <w:spacing w:after="240" w:before="240"/>
      <w:jc w:val="left"/>
    </w:pPr>
    <w:rPr>
      <w:sz w:val="30"/>
      <w:szCs w:val="30"/>
    </w:rPr>
  </w:style>
  <w:style w:customStyle="1" w:styleId="Author" w:type="paragraph">
    <w:name w:val="Author"/>
    <w:next w:val="BodyText"/>
    <w:qFormat/>
    <w:pPr>
      <w:keepNext/>
      <w:keepLines/>
      <w:jc w:val="left"/>
    </w:pPr>
  </w:style>
  <w:style w:styleId="Date" w:type="paragraph">
    <w:name w:val="Date"/>
    <w:next w:val="BodyText"/>
    <w:qFormat/>
    <w:pPr>
      <w:keepNext/>
      <w:keepLines/>
      <w:jc w:val="left"/>
    </w:pPr>
  </w:style>
  <w:style w:customStyle="1" w:styleId="AbstractTitle" w:type="paragraph">
    <w:name w:val="Abstract Title"/>
    <w:basedOn w:val="Normal"/>
    <w:next w:val="Abstract"/>
    <w:qFormat/>
    <w:pPr>
      <w:keepNext/>
      <w:keepLines/>
      <w:spacing w:after="0" w:before="300"/>
      <w:jc w:val="left"/>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jc w:val="left"/>
      <w:outlineLvl w:val="0"/>
    </w:pPr>
    <w:rPr>
      <w:rFonts w:ascii="Calibri" w:asciiTheme="majorHAnsi" w:cstheme="majorBidi" w:eastAsiaTheme="majorEastAsia" w:hAnsi="Calibri" w:hAnsiTheme="majorHAnsi"/>
      <w:b/>
      <w:bCs/>
      <w:color w:val="0F6B66"/>
      <w:sz w:val="36"/>
      <w:szCs w:val="32"/>
    </w:rPr>
  </w:style>
  <w:style w:styleId="Heading2" w:type="paragraph">
    <w:name w:val="Heading 2"/>
    <w:basedOn w:val="Normal"/>
    <w:next w:val="BodyText"/>
    <w:uiPriority w:val="9"/>
    <w:unhideWhenUsed/>
    <w:qFormat/>
    <w:pPr>
      <w:keepNext/>
      <w:keepLines/>
      <w:spacing w:after="80" w:before="280"/>
      <w:jc w:val="left"/>
      <w:outlineLvl w:val="1"/>
    </w:pPr>
    <w:rPr>
      <w:rFonts w:ascii="Calibri" w:asciiTheme="majorHAnsi" w:cstheme="majorBidi" w:eastAsiaTheme="majorEastAsia" w:hAnsi="Calibri" w:hAnsiTheme="majorHAnsi"/>
      <w:b/>
      <w:bCs/>
      <w:color w:val="0F6B66"/>
      <w:sz w:val="28"/>
      <w:szCs w:val="28"/>
    </w:rPr>
  </w:style>
  <w:style w:styleId="Heading3" w:type="paragraph">
    <w:name w:val="Heading 3"/>
    <w:basedOn w:val="Normal"/>
    <w:next w:val="BodyText"/>
    <w:uiPriority w:val="9"/>
    <w:unhideWhenUsed/>
    <w:qFormat/>
    <w:pPr>
      <w:keepNext/>
      <w:keepLines/>
      <w:spacing w:after="80" w:before="200"/>
      <w:jc w:val="left"/>
      <w:outlineLvl w:val="2"/>
    </w:pPr>
    <w:rPr>
      <w:rFonts w:ascii="Calibri" w:asciiTheme="majorHAnsi" w:cstheme="majorBidi" w:eastAsiaTheme="majorEastAsia" w:hAnsi="Calibri" w:hAnsiTheme="majorHAnsi"/>
      <w:b/>
      <w:bCs/>
      <w:color w:val="0F6B66"/>
      <w:sz w:val="24"/>
      <w:szCs w:val="24"/>
    </w:rPr>
  </w:style>
  <w:style w:styleId="Heading4" w:type="paragraph">
    <w:name w:val="Heading 4"/>
    <w:basedOn w:val="Normal"/>
    <w:next w:val="BodyText"/>
    <w:uiPriority w:val="9"/>
    <w:unhideWhenUsed/>
    <w:qFormat/>
    <w:pPr>
      <w:keepNext/>
      <w:keepLines/>
      <w:spacing w:after="80" w:before="200"/>
      <w:jc w:val="left"/>
      <w:outlineLvl w:val="3"/>
    </w:pPr>
    <w:rPr>
      <w:rFonts w:ascii="Calibri" w:asciiTheme="majorHAnsi" w:cstheme="majorBidi" w:eastAsiaTheme="majorEastAsia" w:hAnsi="Calibri" w:hAnsiTheme="majorHAnsi"/>
      <w:i/>
      <w:b/>
      <w:bCs/>
      <w:color w:val="14202B"/>
      <w:sz w:val="22"/>
      <w:szCs w:val="24"/>
    </w:rPr>
  </w:style>
  <w:style w:styleId="Heading5" w:type="paragraph">
    <w:name w:val="Heading 5"/>
    <w:basedOn w:val="Normal"/>
    <w:next w:val="BodyText"/>
    <w:uiPriority w:val="9"/>
    <w:unhideWhenUsed/>
    <w:qFormat/>
    <w:pPr>
      <w:keepNext/>
      <w:keepLines/>
      <w:spacing w:after="0" w:before="200"/>
      <w:jc w:val="left"/>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jc w:val="left"/>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jc w:val="left"/>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jc w:val="left"/>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jc w:val="left"/>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C9D1D9" w:space="8" w:sz="12" w:val="single"/>
      </w:pBdr>
      <w:spacing w:after="100" w:before="100"/>
      <w:ind w:firstLine="0" w:left="454" w:right="480"/>
    </w:pPr>
    <w:rPr>
      <w:rFonts w:ascii="Calibri" w:hAnsi="Calibri"/>
      <w:color w:val="5D6B78"/>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left"/>
    </w:pPr>
    <w:rPr>
      <w:i/>
      <w:color w:val="5D6B78"/>
      <w:sz w:val="18"/>
    </w:rPr>
  </w:style>
  <w:style w:customStyle="1" w:styleId="TableCaption" w:type="paragraph">
    <w:name w:val="Table Caption"/>
    <w:basedOn w:val="Caption"/>
    <w:pPr>
      <w:keepNext/>
      <w:jc w:val="left"/>
    </w:pPr>
    <w:rPr>
      <w:color w:val="5D6B78"/>
      <w:sz w:val="18"/>
    </w:rPr>
  </w:style>
  <w:style w:customStyle="1" w:styleId="ImageCaption" w:type="paragraph">
    <w:name w:val="Image Caption"/>
    <w:basedOn w:val="Caption"/>
    <w:pPr>
      <w:jc w:val="left"/>
    </w:pPr>
    <w:rPr>
      <w:color w:val="5D6B78"/>
      <w:sz w:val="18"/>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jc w:val="left"/>
      <w:outlineLvl w:val="9"/>
    </w:pPr>
    <w:rPr>
      <w:rFonts w:asciiTheme="majorHAnsi" w:cstheme="majorBidi" w:eastAsiaTheme="majorEastAsia" w:hAnsiTheme="majorHAnsi"/>
      <w:b w:val="0"/>
      <w:bCs w:val="0"/>
      <w:color w:themeColor="accent1" w:themeShade="BF" w:val="365F91"/>
    </w:rPr>
  </w:style>
  <w:style w:customStyle="1" w:styleId="RecuadroIdea" w:type="paragraph">
    <w:name w:val="Recuadro Idea"/>
    <w:basedOn w:val="BodyText"/>
    <w:uiPriority w:val="10"/>
    <w:qFormat/>
    <w:pPr>
      <w:pBdr>
        <w:top w:color="EAF2FC" w:space="4" w:sz="4" w:val="single"/>
        <w:left w:color="2F6DB5" w:space="8" w:sz="24" w:val="single"/>
        <w:bottom w:color="EAF2FC" w:space="4" w:sz="4" w:val="single"/>
        <w:right w:color="EAF2FC" w:space="8" w:sz="4" w:val="single"/>
      </w:pBdr>
      <w:shd w:color="auto" w:fill="EAF2FC" w:val="clear"/>
      <w:spacing w:after="40" w:before="40" w:line="264" w:lineRule="auto"/>
      <w:ind w:left="227" w:right="227"/>
    </w:pPr>
    <w:rPr>
      <w:color w:val="14202B"/>
      <w:sz w:val="21"/>
      <w:szCs w:val="21"/>
    </w:rPr>
  </w:style>
  <w:style w:customStyle="1" w:styleId="RecuadroClave" w:type="paragraph">
    <w:name w:val="Recuadro Clave"/>
    <w:basedOn w:val="BodyText"/>
    <w:uiPriority w:val="10"/>
    <w:qFormat/>
    <w:pPr>
      <w:pBdr>
        <w:top w:color="FFF6DC" w:space="4" w:sz="4" w:val="single"/>
        <w:left w:color="D9A21B" w:space="8" w:sz="24" w:val="single"/>
        <w:bottom w:color="FFF6DC" w:space="4" w:sz="4" w:val="single"/>
        <w:right w:color="FFF6DC" w:space="8" w:sz="4" w:val="single"/>
      </w:pBdr>
      <w:shd w:color="auto" w:fill="FFF6DC" w:val="clear"/>
      <w:spacing w:after="40" w:before="40" w:line="264" w:lineRule="auto"/>
      <w:ind w:left="227" w:right="227"/>
    </w:pPr>
    <w:rPr>
      <w:color w:val="14202B"/>
      <w:sz w:val="21"/>
      <w:szCs w:val="21"/>
    </w:rPr>
  </w:style>
  <w:style w:customStyle="1" w:styleId="RecuadroParcial" w:type="paragraph">
    <w:name w:val="Recuadro Parcial"/>
    <w:basedOn w:val="BodyText"/>
    <w:uiPriority w:val="10"/>
    <w:qFormat/>
    <w:pPr>
      <w:pBdr>
        <w:top w:color="E8F5EC" w:space="4" w:sz="4" w:val="single"/>
        <w:left w:color="2E8B57" w:space="8" w:sz="24" w:val="single"/>
        <w:bottom w:color="E8F5EC" w:space="4" w:sz="4" w:val="single"/>
        <w:right w:color="E8F5EC" w:space="8" w:sz="4" w:val="single"/>
      </w:pBdr>
      <w:shd w:color="auto" w:fill="E8F5EC" w:val="clear"/>
      <w:spacing w:after="40" w:before="40" w:line="264" w:lineRule="auto"/>
      <w:ind w:left="227" w:right="227"/>
    </w:pPr>
    <w:rPr>
      <w:color w:val="14202B"/>
      <w:sz w:val="21"/>
      <w:szCs w:val="21"/>
    </w:rPr>
  </w:style>
  <w:style w:customStyle="1" w:styleId="RecuadroEsqueleto" w:type="paragraph">
    <w:name w:val="Recuadro Esqueleto"/>
    <w:basedOn w:val="BodyText"/>
    <w:uiPriority w:val="10"/>
    <w:qFormat/>
    <w:pPr>
      <w:pBdr>
        <w:top w:color="E3F2F1" w:space="4" w:sz="4" w:val="single"/>
        <w:left w:color="0F6B66" w:space="8" w:sz="24" w:val="single"/>
        <w:bottom w:color="E3F2F1" w:space="4" w:sz="4" w:val="single"/>
        <w:right w:color="E3F2F1" w:space="8" w:sz="4" w:val="single"/>
      </w:pBdr>
      <w:shd w:color="auto" w:fill="E3F2F1" w:val="clear"/>
      <w:spacing w:after="40" w:before="40" w:line="264" w:lineRule="auto"/>
      <w:ind w:left="227" w:right="227"/>
    </w:pPr>
    <w:rPr>
      <w:color w:val="14202B"/>
      <w:sz w:val="21"/>
      <w:szCs w:val="21"/>
    </w:rPr>
  </w:style>
  <w:style w:customStyle="1" w:styleId="RecuadroAtencion" w:type="paragraph">
    <w:name w:val="Recuadro Atencion"/>
    <w:basedOn w:val="BodyText"/>
    <w:uiPriority w:val="10"/>
    <w:qFormat/>
    <w:pPr>
      <w:pBdr>
        <w:top w:color="FDECEA" w:space="4" w:sz="4" w:val="single"/>
        <w:left w:color="C0392B" w:space="8" w:sz="24" w:val="single"/>
        <w:bottom w:color="FDECEA" w:space="4" w:sz="4" w:val="single"/>
        <w:right w:color="FDECEA" w:space="8" w:sz="4" w:val="single"/>
      </w:pBdr>
      <w:shd w:color="auto" w:fill="FDECEA" w:val="clear"/>
      <w:spacing w:after="40" w:before="40" w:line="264" w:lineRule="auto"/>
      <w:ind w:left="227" w:right="227"/>
    </w:pPr>
    <w:rPr>
      <w:color w:val="14202B"/>
      <w:sz w:val="21"/>
      <w:szCs w:val="21"/>
    </w:rPr>
  </w:style>
  <w:style w:customStyle="1" w:styleId="RecuadroComplemento" w:type="paragraph">
    <w:name w:val="Recuadro Complemento"/>
    <w:basedOn w:val="BodyText"/>
    <w:uiPriority w:val="10"/>
    <w:qFormat/>
    <w:pPr>
      <w:pBdr>
        <w:top w:color="F2F4F6" w:space="4" w:sz="4" w:val="single"/>
        <w:left w:color="8A96A3" w:space="8" w:sz="24" w:val="single"/>
        <w:bottom w:color="F2F4F6" w:space="4" w:sz="4" w:val="single"/>
        <w:right w:color="F2F4F6" w:space="8" w:sz="4" w:val="single"/>
      </w:pBdr>
      <w:shd w:color="auto" w:fill="F2F4F6" w:val="clear"/>
      <w:spacing w:after="40" w:before="40" w:line="264" w:lineRule="auto"/>
      <w:ind w:left="227" w:right="227"/>
    </w:pPr>
    <w:rPr>
      <w:color w:val="3D4A57"/>
      <w:sz w:val="21"/>
      <w:szCs w:val="21"/>
    </w:rPr>
  </w:style>
  <w:style w:customStyle="1" w:styleId="RecuadroFuente" w:type="paragraph">
    <w:name w:val="Recuadro Fuente"/>
    <w:basedOn w:val="BodyText"/>
    <w:uiPriority w:val="10"/>
    <w:qFormat/>
    <w:pPr>
      <w:pBdr>
        <w:top w:color="F7F8FA" w:space="4" w:sz="4" w:val="single"/>
        <w:left w:color="C9D1D9" w:space="8" w:sz="24" w:val="single"/>
        <w:bottom w:color="F7F8FA" w:space="4" w:sz="4" w:val="single"/>
        <w:right w:color="F7F8FA" w:space="8" w:sz="4" w:val="single"/>
      </w:pBdr>
      <w:shd w:color="auto" w:fill="F7F8FA" w:val="clear"/>
      <w:spacing w:after="40" w:before="40" w:line="264" w:lineRule="auto"/>
      <w:ind w:left="227" w:right="227"/>
    </w:pPr>
    <w:rPr>
      <w:color w:val="3D4A57"/>
      <w:sz w:val="19"/>
      <w:szCs w:val="19"/>
    </w:rPr>
  </w:style>
  <w:style w:customStyle="1" w:styleId="EncabezadoGuia" w:type="paragraph">
    <w:name w:val="Encabezado guia"/>
    <w:basedOn w:val="Normal"/>
    <w:pPr>
      <w:pBdr>
        <w:bottom w:color="C9D1D9" w:space="2" w:sz="4" w:val="single"/>
      </w:pBdr>
      <w:jc w:val="right"/>
      <w:spacing w:after="0"/>
    </w:pPr>
    <w:rPr>
      <w:color w:val="5D6B78"/>
      <w:sz w:val="17"/>
    </w:rPr>
  </w:style>
  <w:style w:customStyle="1" w:styleId="PieGuia" w:type="paragraph">
    <w:name w:val="Pie guia"/>
    <w:basedOn w:val="Normal"/>
    <w:pPr>
      <w:jc w:val="center"/>
      <w:spacing w:after="0"/>
    </w:pPr>
    <w:rPr>
      <w:color w:val="5D6B78"/>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Ftr1" Target="footer1.xml" Type="http://schemas.openxmlformats.org/officeDocument/2006/relationships/footer"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2026-10-08T22:33:00Z</dcterms:created>
  <dcterms:modified xsi:type="dcterms:W3CDTF">2026-10-08T22:33:00Z</dcterms:modified>
</cp:coreProperties>
</file>

<file path=docProps/custom.xml><?xml version="1.0" encoding="utf-8"?>
<Properties xmlns="http://schemas.openxmlformats.org/officeDocument/2006/custom-properties" xmlns:vt="http://schemas.openxmlformats.org/officeDocument/2006/docPropsVTypes"/>
</file>