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FC7D" w14:textId="1FB8A0F8" w:rsidR="00E46119" w:rsidRPr="00E46119" w:rsidRDefault="00E46119" w:rsidP="00E46119">
      <w:pPr>
        <w:jc w:val="center"/>
        <w:rPr>
          <w:b/>
          <w:bCs/>
        </w:rPr>
      </w:pPr>
      <w:r>
        <w:rPr>
          <w:b/>
          <w:bCs/>
        </w:rPr>
        <w:t xml:space="preserve">(1) </w:t>
      </w:r>
      <w:r w:rsidRPr="00E46119">
        <w:rPr>
          <w:b/>
          <w:bCs/>
        </w:rPr>
        <w:t>Síntesis de “Ser el raro”</w:t>
      </w:r>
    </w:p>
    <w:p w14:paraId="3116DE0E" w14:textId="6306C31C" w:rsidR="00E46119" w:rsidRPr="00E46119" w:rsidRDefault="00E46119" w:rsidP="00E46119">
      <w:pPr>
        <w:jc w:val="both"/>
      </w:pPr>
      <w:r w:rsidRPr="00E46119">
        <w:t>El texto es una crónica autobiográfica en la que Eduardo Molina narra su proceso de descubrimiento y aceptación como persona autista. Desde la infancia, se sintió “raro” por sus dificultades para socializar, su falta de empatía convencional y sus intereses particulares, como su fijación con los boletos de bus o su preferencia por ciertos colores y texturas. Durante años, enfrentó incomprensión, bullying y discriminación, lo que le generó un profundo deseo de pertenecer.</w:t>
      </w:r>
    </w:p>
    <w:p w14:paraId="769F0B1A" w14:textId="555179FB" w:rsidR="00E46119" w:rsidRDefault="00E46119" w:rsidP="00E46119">
      <w:pPr>
        <w:jc w:val="both"/>
      </w:pPr>
      <w:r w:rsidRPr="00E46119">
        <w:t>El punto de inflexión se da cuando, gracias a una amiga con diagnóstico de autismo, comienza a identificar rasgos similares en sí mismo. Finalmente, a los 21 años, obtiene un diagnóstico formal de Trastorno del Espectro Autista (TEA) junto con Trastorno por Déficit Atencional con Hiperactividad (TDAH). Esto le permite entender su comportamiento, dejar de culparse y vivir con mayor libertad, reconociendo que no hay nada de malo en ser diferente.</w:t>
      </w:r>
    </w:p>
    <w:p w14:paraId="7EB19B43" w14:textId="0D6AE052" w:rsidR="00E46119" w:rsidRPr="00E46119" w:rsidRDefault="00E46119" w:rsidP="00E46119">
      <w:pPr>
        <w:jc w:val="center"/>
        <w:rPr>
          <w:b/>
          <w:bCs/>
        </w:rPr>
      </w:pPr>
      <w:r>
        <w:rPr>
          <w:b/>
          <w:bCs/>
        </w:rPr>
        <w:t>(</w:t>
      </w:r>
      <w:r>
        <w:rPr>
          <w:b/>
          <w:bCs/>
        </w:rPr>
        <w:t>3</w:t>
      </w:r>
      <w:r>
        <w:rPr>
          <w:b/>
          <w:bCs/>
        </w:rPr>
        <w:t xml:space="preserve">) </w:t>
      </w:r>
      <w:r w:rsidRPr="00E46119">
        <w:rPr>
          <w:b/>
          <w:bCs/>
        </w:rPr>
        <w:t>Ejercicio – Tipos textuales y géneros discursivos</w:t>
      </w:r>
    </w:p>
    <w:p w14:paraId="76BD6824" w14:textId="1FADE9F9" w:rsidR="00E46119" w:rsidRDefault="00E46119" w:rsidP="00E46119">
      <w:pPr>
        <w:jc w:val="both"/>
      </w:pPr>
      <w:r>
        <w:t>Texto 1: Narrativo</w:t>
      </w:r>
    </w:p>
    <w:p w14:paraId="4EE1A9F0" w14:textId="40F79B87" w:rsidR="00E46119" w:rsidRDefault="00E46119" w:rsidP="00E46119">
      <w:pPr>
        <w:jc w:val="both"/>
      </w:pPr>
      <w:r>
        <w:t>Texto 2: Descriptivo</w:t>
      </w:r>
    </w:p>
    <w:p w14:paraId="4293DE0E" w14:textId="068A8DE9" w:rsidR="00E46119" w:rsidRDefault="00E46119" w:rsidP="00E46119">
      <w:pPr>
        <w:jc w:val="both"/>
      </w:pPr>
      <w:r>
        <w:t xml:space="preserve">Texto 3: </w:t>
      </w:r>
      <w:r>
        <w:t>Descriptivo</w:t>
      </w:r>
    </w:p>
    <w:p w14:paraId="79F4665F" w14:textId="1BFF5D45" w:rsidR="00E46119" w:rsidRDefault="00E46119" w:rsidP="00E46119">
      <w:pPr>
        <w:jc w:val="both"/>
      </w:pPr>
      <w:r>
        <w:t>Texto 4: Dialogal</w:t>
      </w:r>
    </w:p>
    <w:p w14:paraId="43E5C573" w14:textId="60D4AFC2" w:rsidR="00E46119" w:rsidRDefault="00E46119" w:rsidP="00E46119">
      <w:pPr>
        <w:jc w:val="both"/>
      </w:pPr>
      <w:r>
        <w:t>Texto 5: Expositivo Explicativo</w:t>
      </w:r>
    </w:p>
    <w:p w14:paraId="081BEC92" w14:textId="68CD55EF" w:rsidR="00E46119" w:rsidRDefault="00E46119" w:rsidP="00E46119">
      <w:pPr>
        <w:jc w:val="both"/>
      </w:pPr>
      <w:r>
        <w:t>Texto 6: Argumentativo</w:t>
      </w:r>
    </w:p>
    <w:p w14:paraId="7D0A8B03" w14:textId="2866A225" w:rsidR="00E46119" w:rsidRPr="00E46119" w:rsidRDefault="00E46119" w:rsidP="00E46119">
      <w:pPr>
        <w:jc w:val="both"/>
      </w:pPr>
      <w:r>
        <w:t xml:space="preserve">Texto 7: </w:t>
      </w:r>
      <w:r>
        <w:t>Descriptivo</w:t>
      </w:r>
    </w:p>
    <w:p w14:paraId="4B2DC376" w14:textId="6EED2A04" w:rsidR="00F6539E" w:rsidRDefault="00E46119" w:rsidP="00F6539E">
      <w:pPr>
        <w:jc w:val="center"/>
        <w:rPr>
          <w:b/>
          <w:bCs/>
        </w:rPr>
      </w:pPr>
      <w:r>
        <w:rPr>
          <w:b/>
          <w:bCs/>
        </w:rPr>
        <w:t>(</w:t>
      </w:r>
      <w:r>
        <w:rPr>
          <w:b/>
          <w:bCs/>
        </w:rPr>
        <w:t>5</w:t>
      </w:r>
      <w:r>
        <w:rPr>
          <w:b/>
          <w:bCs/>
        </w:rPr>
        <w:t xml:space="preserve">) </w:t>
      </w:r>
      <w:r w:rsidR="00F6539E">
        <w:rPr>
          <w:b/>
          <w:bCs/>
        </w:rPr>
        <w:t>“Bullying y ciberbullying en la escuela” - Altieri</w:t>
      </w:r>
    </w:p>
    <w:p w14:paraId="7BD1BF0F" w14:textId="4DFF0348" w:rsidR="00F6539E" w:rsidRDefault="00F6539E" w:rsidP="00F6539E">
      <w:pPr>
        <w:jc w:val="both"/>
      </w:pPr>
      <w:r w:rsidRPr="00F6539E">
        <w:rPr>
          <w:b/>
          <w:bCs/>
        </w:rPr>
        <w:t>1.</w:t>
      </w:r>
      <w:r>
        <w:t xml:space="preserve"> </w:t>
      </w:r>
      <w:r w:rsidRPr="00F6539E">
        <w:t>El artículo propondrá una distinción clara entre el bullying y otras formas de agresión entre pares, y desarrollará un enfoque preventivo centrado en estrategias educativas y comunitarias, que incluyan la colaboración entre escuela y familia, con el fin de contrarrestar tanto el bullying como el ciberbullying en contextos escolares.</w:t>
      </w:r>
    </w:p>
    <w:p w14:paraId="0138CAF3" w14:textId="5F32FED8" w:rsidR="00F6539E" w:rsidRPr="00F6539E" w:rsidRDefault="00F6539E" w:rsidP="00F6539E">
      <w:pPr>
        <w:jc w:val="both"/>
        <w:rPr>
          <w:b/>
          <w:bCs/>
        </w:rPr>
      </w:pPr>
      <w:r w:rsidRPr="00F6539E">
        <w:rPr>
          <w:b/>
          <w:bCs/>
        </w:rPr>
        <w:t>2.</w:t>
      </w:r>
    </w:p>
    <w:p w14:paraId="7042B3BB" w14:textId="0E8AF13B" w:rsidR="00F6539E" w:rsidRPr="00F6539E" w:rsidRDefault="00F6539E" w:rsidP="00F6539E">
      <w:pPr>
        <w:ind w:left="284"/>
        <w:jc w:val="both"/>
      </w:pPr>
      <w:r w:rsidRPr="00F6539E">
        <w:rPr>
          <w:b/>
          <w:bCs/>
        </w:rPr>
        <w:t xml:space="preserve">a. </w:t>
      </w:r>
      <w:r w:rsidRPr="00F6539E">
        <w:t>El bullying es una conducta agresiva intencional, persistente y caracterizada por un desequilibrio de poder entre el agresor y la víctima. Se diferencia de otras formas de prepotencia entre pares porque no se trata de conflictos ocasionales o simétricos, sino de una dinámica sistemática en la que uno o varios individuos ejercen violencia psicológica o física de forma repetida para obtener una ventaja social y consolidar una posición de dominio en el grupo.</w:t>
      </w:r>
    </w:p>
    <w:p w14:paraId="7C2F8E64" w14:textId="717AA336" w:rsidR="00F6539E" w:rsidRPr="00F6539E" w:rsidRDefault="00F6539E" w:rsidP="00F6539E">
      <w:pPr>
        <w:ind w:left="284"/>
        <w:jc w:val="both"/>
      </w:pPr>
      <w:r w:rsidRPr="00F6539E">
        <w:rPr>
          <w:b/>
          <w:bCs/>
        </w:rPr>
        <w:t xml:space="preserve">b. </w:t>
      </w:r>
      <w:r w:rsidRPr="00F6539E">
        <w:t>El ciberbullying es una forma de acoso que se realiza mediante el uso de Internet y dispositivos digitales. Es especialmente peligroso porque no tiene barreras espacio-temporales: los ataques pueden ocurrir en cualquier momento y lugar, dejar rastros permanentes en la red, y alcanzar a un público mucho mayor, lo cual amplifica considerablemente sus efectos emocionales y psicológicos sobre la víctima.</w:t>
      </w:r>
    </w:p>
    <w:p w14:paraId="2AAF5F6E" w14:textId="5322FF80" w:rsidR="00F6539E" w:rsidRPr="00F6539E" w:rsidRDefault="00F6539E" w:rsidP="00F6539E">
      <w:pPr>
        <w:ind w:left="284"/>
        <w:jc w:val="both"/>
      </w:pPr>
      <w:r w:rsidRPr="00F6539E">
        <w:rPr>
          <w:b/>
          <w:bCs/>
        </w:rPr>
        <w:lastRenderedPageBreak/>
        <w:t xml:space="preserve">c. </w:t>
      </w:r>
      <w:r w:rsidRPr="00F6539E">
        <w:t>Lo esencial es involucrar a toda la comunidad escolar, especialmente fomentando la colaboración escuela-familia. Esta cooperación permite identificar y responder de forma eficaz a los casos de acoso, rompe el ciclo de violencia, y promueve un sistema de valores compartidos basado en el respeto, la empatía y la cooperación. No se trata de estigmatizar, sino de responsabilizar y educar en valores.</w:t>
      </w:r>
    </w:p>
    <w:p w14:paraId="24ECB942" w14:textId="13C124C1" w:rsidR="00F6539E" w:rsidRPr="00F6539E" w:rsidRDefault="00F6539E" w:rsidP="00F6539E">
      <w:pPr>
        <w:ind w:left="284"/>
        <w:jc w:val="both"/>
      </w:pPr>
      <w:r w:rsidRPr="00F6539E">
        <w:rPr>
          <w:b/>
          <w:bCs/>
        </w:rPr>
        <w:t xml:space="preserve">d. </w:t>
      </w:r>
      <w:r w:rsidRPr="00F6539E">
        <w:t>Las estrategias concretas incluyen:</w:t>
      </w:r>
    </w:p>
    <w:p w14:paraId="288BD898" w14:textId="77777777" w:rsidR="00F6539E" w:rsidRPr="00F6539E" w:rsidRDefault="00F6539E" w:rsidP="00F6539E">
      <w:pPr>
        <w:numPr>
          <w:ilvl w:val="0"/>
          <w:numId w:val="1"/>
        </w:numPr>
        <w:tabs>
          <w:tab w:val="clear" w:pos="720"/>
          <w:tab w:val="num" w:pos="993"/>
        </w:tabs>
        <w:ind w:left="993"/>
        <w:jc w:val="both"/>
      </w:pPr>
      <w:r w:rsidRPr="00F6539E">
        <w:t>Formación y sensibilización de toda la comunidad escolar y familiar.</w:t>
      </w:r>
    </w:p>
    <w:p w14:paraId="1800FADD" w14:textId="77777777" w:rsidR="00F6539E" w:rsidRPr="00F6539E" w:rsidRDefault="00F6539E" w:rsidP="00F6539E">
      <w:pPr>
        <w:numPr>
          <w:ilvl w:val="0"/>
          <w:numId w:val="1"/>
        </w:numPr>
        <w:tabs>
          <w:tab w:val="clear" w:pos="720"/>
          <w:tab w:val="num" w:pos="993"/>
        </w:tabs>
        <w:ind w:left="993"/>
        <w:jc w:val="both"/>
      </w:pPr>
      <w:r w:rsidRPr="00F6539E">
        <w:t>Promoción del sentido de comunidad y pertenencia entre los estudiantes.</w:t>
      </w:r>
    </w:p>
    <w:p w14:paraId="78A4BA3C" w14:textId="77777777" w:rsidR="00F6539E" w:rsidRPr="00F6539E" w:rsidRDefault="00F6539E" w:rsidP="00F6539E">
      <w:pPr>
        <w:numPr>
          <w:ilvl w:val="0"/>
          <w:numId w:val="1"/>
        </w:numPr>
        <w:tabs>
          <w:tab w:val="clear" w:pos="720"/>
          <w:tab w:val="num" w:pos="993"/>
        </w:tabs>
        <w:ind w:left="993"/>
        <w:jc w:val="both"/>
      </w:pPr>
      <w:r w:rsidRPr="00F6539E">
        <w:t>Intervenciones educativas basadas en el respeto y la cooperación.</w:t>
      </w:r>
    </w:p>
    <w:p w14:paraId="62899AB6" w14:textId="77777777" w:rsidR="00F6539E" w:rsidRPr="00F6539E" w:rsidRDefault="00F6539E" w:rsidP="00F6539E">
      <w:pPr>
        <w:numPr>
          <w:ilvl w:val="0"/>
          <w:numId w:val="1"/>
        </w:numPr>
        <w:tabs>
          <w:tab w:val="clear" w:pos="720"/>
          <w:tab w:val="num" w:pos="993"/>
        </w:tabs>
        <w:ind w:left="993"/>
        <w:jc w:val="both"/>
      </w:pPr>
      <w:r w:rsidRPr="00F6539E">
        <w:t>Actividades de reflexión y discusión (como debates, role-playing y testimonios de pares mayores que hayan vivido experiencias similares).</w:t>
      </w:r>
    </w:p>
    <w:p w14:paraId="1B4DC15E" w14:textId="1A5C36A3" w:rsidR="00F6539E" w:rsidRDefault="00F6539E" w:rsidP="00F6539E">
      <w:pPr>
        <w:numPr>
          <w:ilvl w:val="0"/>
          <w:numId w:val="1"/>
        </w:numPr>
        <w:tabs>
          <w:tab w:val="clear" w:pos="720"/>
          <w:tab w:val="num" w:pos="993"/>
        </w:tabs>
        <w:ind w:left="993"/>
        <w:jc w:val="both"/>
      </w:pPr>
      <w:r w:rsidRPr="00F6539E">
        <w:t>Aprendizaje cooperativo, que fomenta habilidades psico-sociales y afectivas esenciales, como la empatía, la solidaridad, el trabajo en equipo y el liderazgo compartido.</w:t>
      </w:r>
    </w:p>
    <w:p w14:paraId="05BC2020" w14:textId="001176B4" w:rsidR="00F6539E" w:rsidRDefault="00F6539E" w:rsidP="00F6539E">
      <w:pPr>
        <w:jc w:val="both"/>
      </w:pPr>
      <w:r w:rsidRPr="006B18F5">
        <w:rPr>
          <w:b/>
          <w:bCs/>
        </w:rPr>
        <w:t>3.</w:t>
      </w:r>
      <w:r>
        <w:t xml:space="preserve"> </w:t>
      </w:r>
      <w:r w:rsidR="00A40BE1">
        <w:t xml:space="preserve">Pertenece al género discursivo académico ya que </w:t>
      </w:r>
      <w:r w:rsidR="00815114">
        <w:t xml:space="preserve">es un artículo publicado en una revista científico profesional de la pedagogía y psicopedagogía, </w:t>
      </w:r>
      <w:r w:rsidR="006638C4">
        <w:t xml:space="preserve">siendo un texto específico y especializado en una problemática </w:t>
      </w:r>
      <w:r w:rsidR="0087341B">
        <w:t xml:space="preserve">de este ámbito, </w:t>
      </w:r>
      <w:r w:rsidR="00B62019">
        <w:t xml:space="preserve">el bullying y ciberbullying. Además, este texto se presenta con un registro formal, y uso de palabras y </w:t>
      </w:r>
      <w:r w:rsidR="00062997">
        <w:t>formulaciones específicos del género. Por último, este texto posee una estructura específica de presentación, cuerpo y cierre, separándose en 3 títulos</w:t>
      </w:r>
      <w:r w:rsidR="006B18F5">
        <w:t>: Introducción, Estrategias, y Conclusiones.</w:t>
      </w:r>
      <w:r w:rsidR="00B62019">
        <w:t xml:space="preserve"> </w:t>
      </w:r>
    </w:p>
    <w:p w14:paraId="4125A3C6" w14:textId="0574CEEF" w:rsidR="00F6539E" w:rsidRDefault="00F6539E" w:rsidP="00F6539E">
      <w:pPr>
        <w:jc w:val="both"/>
      </w:pPr>
      <w:r w:rsidRPr="006B18F5">
        <w:rPr>
          <w:b/>
          <w:bCs/>
        </w:rPr>
        <w:t>4.</w:t>
      </w:r>
      <w:r w:rsidR="006B18F5">
        <w:t xml:space="preserve"> </w:t>
      </w:r>
      <w:r w:rsidR="008D054B">
        <w:t xml:space="preserve">En reiteradas veces, faltan sangrías al inicio de los párrafos. En la página 24, párrafo 8, el mismo termina con una coma y no un punto. </w:t>
      </w:r>
      <w:r w:rsidR="005968D9">
        <w:t xml:space="preserve">En la página 25, párrafo 1, </w:t>
      </w:r>
      <w:r w:rsidR="005A7F7E">
        <w:t xml:space="preserve">al querer citar fuente, no tenemos la apertura del paréntesis. </w:t>
      </w:r>
      <w:r w:rsidR="00105A7B">
        <w:t>Y en esta misma página, en el párrafo 5, falta el punto que finaliza el párrafo.</w:t>
      </w:r>
      <w:r w:rsidR="005968D9">
        <w:t xml:space="preserve"> </w:t>
      </w:r>
    </w:p>
    <w:p w14:paraId="5879030C" w14:textId="594992E5" w:rsidR="00F6539E" w:rsidRDefault="00E46119" w:rsidP="00F6539E">
      <w:pPr>
        <w:jc w:val="center"/>
        <w:rPr>
          <w:b/>
          <w:bCs/>
        </w:rPr>
      </w:pPr>
      <w:r>
        <w:rPr>
          <w:b/>
          <w:bCs/>
        </w:rPr>
        <w:t>(</w:t>
      </w:r>
      <w:r>
        <w:rPr>
          <w:b/>
          <w:bCs/>
        </w:rPr>
        <w:t>5</w:t>
      </w:r>
      <w:r>
        <w:rPr>
          <w:b/>
          <w:bCs/>
        </w:rPr>
        <w:t xml:space="preserve">) </w:t>
      </w:r>
      <w:r w:rsidR="00F6539E">
        <w:rPr>
          <w:b/>
          <w:bCs/>
        </w:rPr>
        <w:t>“</w:t>
      </w:r>
      <w:r w:rsidR="00F6539E">
        <w:rPr>
          <w:b/>
          <w:bCs/>
        </w:rPr>
        <w:t>¿Qué es inteligencia?</w:t>
      </w:r>
      <w:r w:rsidR="00F6539E">
        <w:rPr>
          <w:b/>
          <w:bCs/>
        </w:rPr>
        <w:t>”</w:t>
      </w:r>
      <w:r>
        <w:rPr>
          <w:b/>
          <w:bCs/>
        </w:rPr>
        <w:t xml:space="preserve"> - Paenza</w:t>
      </w:r>
    </w:p>
    <w:p w14:paraId="1903EEE1" w14:textId="2F588336" w:rsidR="00F6539E" w:rsidRDefault="00F6539E" w:rsidP="00F6539E">
      <w:pPr>
        <w:jc w:val="both"/>
      </w:pPr>
      <w:r w:rsidRPr="00105A7B">
        <w:rPr>
          <w:b/>
          <w:bCs/>
        </w:rPr>
        <w:t>5.</w:t>
      </w:r>
      <w:r>
        <w:t xml:space="preserve"> </w:t>
      </w:r>
    </w:p>
    <w:p w14:paraId="7716B2C2" w14:textId="127BB6E4" w:rsidR="002503C8" w:rsidRDefault="002503C8" w:rsidP="002503C8">
      <w:pPr>
        <w:pStyle w:val="ListParagraph"/>
        <w:numPr>
          <w:ilvl w:val="0"/>
          <w:numId w:val="2"/>
        </w:numPr>
      </w:pPr>
      <w:r>
        <w:t>¿Qué dificultad existe al intentar definir la inteligencia?</w:t>
      </w:r>
    </w:p>
    <w:p w14:paraId="793BDA68" w14:textId="7D857D3D" w:rsidR="002503C8" w:rsidRDefault="002503C8" w:rsidP="002503C8">
      <w:pPr>
        <w:pStyle w:val="ListParagraph"/>
        <w:numPr>
          <w:ilvl w:val="0"/>
          <w:numId w:val="2"/>
        </w:numPr>
      </w:pPr>
      <w:r>
        <w:t>¿Cuáles son algunas de las múltiples definiciones propuestas para la inteligencia?</w:t>
      </w:r>
    </w:p>
    <w:p w14:paraId="61F2D86F" w14:textId="565918F2" w:rsidR="002503C8" w:rsidRDefault="002503C8" w:rsidP="002503C8">
      <w:pPr>
        <w:pStyle w:val="ListParagraph"/>
        <w:numPr>
          <w:ilvl w:val="0"/>
          <w:numId w:val="2"/>
        </w:numPr>
      </w:pPr>
      <w:r>
        <w:t>¿Qué debate histórico existe sobre el origen de la inteligencia?</w:t>
      </w:r>
    </w:p>
    <w:p w14:paraId="62334D0D" w14:textId="63FAB8AA" w:rsidR="002503C8" w:rsidRDefault="002503C8" w:rsidP="002503C8">
      <w:pPr>
        <w:pStyle w:val="ListParagraph"/>
        <w:numPr>
          <w:ilvl w:val="0"/>
          <w:numId w:val="2"/>
        </w:numPr>
      </w:pPr>
      <w:r>
        <w:t>¿Qué controversias generó el libro The Bell Curve y cómo define la inteligencia?</w:t>
      </w:r>
    </w:p>
    <w:p w14:paraId="5091B3D8" w14:textId="503F21D5" w:rsidR="002503C8" w:rsidRDefault="002503C8" w:rsidP="002503C8">
      <w:pPr>
        <w:pStyle w:val="ListParagraph"/>
        <w:numPr>
          <w:ilvl w:val="0"/>
          <w:numId w:val="2"/>
        </w:numPr>
      </w:pPr>
      <w:r>
        <w:t>¿Por qué algunos científicos critican los tests de inteligencia?</w:t>
      </w:r>
    </w:p>
    <w:p w14:paraId="2416F450" w14:textId="2DDEDF08" w:rsidR="002503C8" w:rsidRDefault="002503C8" w:rsidP="002503C8">
      <w:pPr>
        <w:pStyle w:val="ListParagraph"/>
        <w:numPr>
          <w:ilvl w:val="0"/>
          <w:numId w:val="2"/>
        </w:numPr>
      </w:pPr>
      <w:r>
        <w:t>¿Qué propone Howard Gardner sobre los distintos tipos de inteligencia?</w:t>
      </w:r>
    </w:p>
    <w:p w14:paraId="4EEF0D6E" w14:textId="0A9F5959" w:rsidR="002503C8" w:rsidRDefault="002503C8" w:rsidP="002503C8">
      <w:pPr>
        <w:pStyle w:val="ListParagraph"/>
        <w:numPr>
          <w:ilvl w:val="0"/>
          <w:numId w:val="2"/>
        </w:numPr>
      </w:pPr>
      <w:r>
        <w:t>¿Por qué el debate entre ambiente y herencia es tan controversial?</w:t>
      </w:r>
    </w:p>
    <w:p w14:paraId="43E3049C" w14:textId="77777777" w:rsidR="002503C8" w:rsidRDefault="002503C8" w:rsidP="002503C8">
      <w:pPr>
        <w:pStyle w:val="ListParagraph"/>
        <w:numPr>
          <w:ilvl w:val="0"/>
          <w:numId w:val="2"/>
        </w:numPr>
      </w:pPr>
      <w:r>
        <w:t>¿Cuál es la postura personal del autor frente al origen de la inteligencia?</w:t>
      </w:r>
    </w:p>
    <w:p w14:paraId="4B64827A" w14:textId="3CAACEBF" w:rsidR="00F6539E" w:rsidRDefault="00F6539E" w:rsidP="00105A7B">
      <w:pPr>
        <w:jc w:val="both"/>
      </w:pPr>
      <w:r w:rsidRPr="00105A7B">
        <w:rPr>
          <w:b/>
          <w:bCs/>
        </w:rPr>
        <w:t xml:space="preserve">6. </w:t>
      </w:r>
      <w:r w:rsidR="00FF64A6">
        <w:t>Este texto podría publicarse en un libro, manual educativo, o podría ser una nota</w:t>
      </w:r>
      <w:r w:rsidR="00BF4FCF">
        <w:t xml:space="preserve">. </w:t>
      </w:r>
      <w:r w:rsidR="00C05BB9">
        <w:t xml:space="preserve">Lo clasificaría en el género discursivo </w:t>
      </w:r>
      <w:r w:rsidR="00FF64A6">
        <w:t>Expositivo Explicativo.</w:t>
      </w:r>
    </w:p>
    <w:p w14:paraId="4B8D7CA0" w14:textId="5BD19F63" w:rsidR="00F6539E" w:rsidRDefault="00F6539E" w:rsidP="00F6539E">
      <w:pPr>
        <w:jc w:val="both"/>
      </w:pPr>
      <w:r w:rsidRPr="00105A7B">
        <w:rPr>
          <w:b/>
          <w:bCs/>
        </w:rPr>
        <w:t>7.</w:t>
      </w:r>
      <w:r>
        <w:t xml:space="preserve"> </w:t>
      </w:r>
      <w:r w:rsidR="00B40E6F">
        <w:t xml:space="preserve">Al final del texto se convierte en un </w:t>
      </w:r>
      <w:r w:rsidR="00F24C22">
        <w:t xml:space="preserve">texto argumentativo, ya que toma una posición frente al tema y presenta sus </w:t>
      </w:r>
      <w:r w:rsidR="00ED0470">
        <w:t>justificaciones para dar como válida su visión.</w:t>
      </w:r>
    </w:p>
    <w:sectPr w:rsidR="00F6539E" w:rsidSect="00F6539E">
      <w:pgSz w:w="11906" w:h="16838"/>
      <w:pgMar w:top="851" w:right="707"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E0A88" w14:textId="77777777" w:rsidR="00F6539E" w:rsidRDefault="00F6539E" w:rsidP="00F6539E">
      <w:pPr>
        <w:spacing w:after="0" w:line="240" w:lineRule="auto"/>
      </w:pPr>
      <w:r>
        <w:separator/>
      </w:r>
    </w:p>
  </w:endnote>
  <w:endnote w:type="continuationSeparator" w:id="0">
    <w:p w14:paraId="3DE992E7" w14:textId="77777777" w:rsidR="00F6539E" w:rsidRDefault="00F6539E" w:rsidP="00F65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B56ED" w14:textId="77777777" w:rsidR="00F6539E" w:rsidRDefault="00F6539E" w:rsidP="00F6539E">
      <w:pPr>
        <w:spacing w:after="0" w:line="240" w:lineRule="auto"/>
      </w:pPr>
      <w:r>
        <w:separator/>
      </w:r>
    </w:p>
  </w:footnote>
  <w:footnote w:type="continuationSeparator" w:id="0">
    <w:p w14:paraId="1E5084E5" w14:textId="77777777" w:rsidR="00F6539E" w:rsidRDefault="00F6539E" w:rsidP="00F65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C01EB"/>
    <w:multiLevelType w:val="hybridMultilevel"/>
    <w:tmpl w:val="A7EC93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5872D73"/>
    <w:multiLevelType w:val="multilevel"/>
    <w:tmpl w:val="94C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755136">
    <w:abstractNumId w:val="1"/>
  </w:num>
  <w:num w:numId="2" w16cid:durableId="110823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9E"/>
    <w:rsid w:val="00062997"/>
    <w:rsid w:val="00105A7B"/>
    <w:rsid w:val="002503C8"/>
    <w:rsid w:val="003278B6"/>
    <w:rsid w:val="005968D9"/>
    <w:rsid w:val="005A7F7E"/>
    <w:rsid w:val="006638C4"/>
    <w:rsid w:val="006B18F5"/>
    <w:rsid w:val="00815114"/>
    <w:rsid w:val="0087341B"/>
    <w:rsid w:val="008D054B"/>
    <w:rsid w:val="00A40BE1"/>
    <w:rsid w:val="00A81844"/>
    <w:rsid w:val="00AA1F1D"/>
    <w:rsid w:val="00B40E6F"/>
    <w:rsid w:val="00B62019"/>
    <w:rsid w:val="00BF4FCF"/>
    <w:rsid w:val="00C05BB9"/>
    <w:rsid w:val="00E46119"/>
    <w:rsid w:val="00ED0470"/>
    <w:rsid w:val="00F24C22"/>
    <w:rsid w:val="00F6539E"/>
    <w:rsid w:val="00FF64A6"/>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E93C7"/>
  <w15:chartTrackingRefBased/>
  <w15:docId w15:val="{D778CAEF-8285-4E40-98E2-F2FAF004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39E"/>
  </w:style>
  <w:style w:type="paragraph" w:styleId="Heading1">
    <w:name w:val="heading 1"/>
    <w:basedOn w:val="Normal"/>
    <w:next w:val="Normal"/>
    <w:link w:val="Heading1Char"/>
    <w:uiPriority w:val="9"/>
    <w:qFormat/>
    <w:rsid w:val="00F65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39E"/>
    <w:rPr>
      <w:rFonts w:eastAsiaTheme="majorEastAsia" w:cstheme="majorBidi"/>
      <w:color w:val="272727" w:themeColor="text1" w:themeTint="D8"/>
    </w:rPr>
  </w:style>
  <w:style w:type="paragraph" w:styleId="Title">
    <w:name w:val="Title"/>
    <w:basedOn w:val="Normal"/>
    <w:next w:val="Normal"/>
    <w:link w:val="TitleChar"/>
    <w:uiPriority w:val="10"/>
    <w:qFormat/>
    <w:rsid w:val="00F65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39E"/>
    <w:pPr>
      <w:spacing w:before="160"/>
      <w:jc w:val="center"/>
    </w:pPr>
    <w:rPr>
      <w:i/>
      <w:iCs/>
      <w:color w:val="404040" w:themeColor="text1" w:themeTint="BF"/>
    </w:rPr>
  </w:style>
  <w:style w:type="character" w:customStyle="1" w:styleId="QuoteChar">
    <w:name w:val="Quote Char"/>
    <w:basedOn w:val="DefaultParagraphFont"/>
    <w:link w:val="Quote"/>
    <w:uiPriority w:val="29"/>
    <w:rsid w:val="00F6539E"/>
    <w:rPr>
      <w:i/>
      <w:iCs/>
      <w:color w:val="404040" w:themeColor="text1" w:themeTint="BF"/>
    </w:rPr>
  </w:style>
  <w:style w:type="paragraph" w:styleId="ListParagraph">
    <w:name w:val="List Paragraph"/>
    <w:basedOn w:val="Normal"/>
    <w:uiPriority w:val="34"/>
    <w:qFormat/>
    <w:rsid w:val="00F6539E"/>
    <w:pPr>
      <w:ind w:left="720"/>
      <w:contextualSpacing/>
    </w:pPr>
  </w:style>
  <w:style w:type="character" w:styleId="IntenseEmphasis">
    <w:name w:val="Intense Emphasis"/>
    <w:basedOn w:val="DefaultParagraphFont"/>
    <w:uiPriority w:val="21"/>
    <w:qFormat/>
    <w:rsid w:val="00F6539E"/>
    <w:rPr>
      <w:i/>
      <w:iCs/>
      <w:color w:val="0F4761" w:themeColor="accent1" w:themeShade="BF"/>
    </w:rPr>
  </w:style>
  <w:style w:type="paragraph" w:styleId="IntenseQuote">
    <w:name w:val="Intense Quote"/>
    <w:basedOn w:val="Normal"/>
    <w:next w:val="Normal"/>
    <w:link w:val="IntenseQuoteChar"/>
    <w:uiPriority w:val="30"/>
    <w:qFormat/>
    <w:rsid w:val="00F65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39E"/>
    <w:rPr>
      <w:i/>
      <w:iCs/>
      <w:color w:val="0F4761" w:themeColor="accent1" w:themeShade="BF"/>
    </w:rPr>
  </w:style>
  <w:style w:type="character" w:styleId="IntenseReference">
    <w:name w:val="Intense Reference"/>
    <w:basedOn w:val="DefaultParagraphFont"/>
    <w:uiPriority w:val="32"/>
    <w:qFormat/>
    <w:rsid w:val="00F6539E"/>
    <w:rPr>
      <w:b/>
      <w:bCs/>
      <w:smallCaps/>
      <w:color w:val="0F4761" w:themeColor="accent1" w:themeShade="BF"/>
      <w:spacing w:val="5"/>
    </w:rPr>
  </w:style>
  <w:style w:type="paragraph" w:styleId="Header">
    <w:name w:val="header"/>
    <w:basedOn w:val="Normal"/>
    <w:link w:val="HeaderChar"/>
    <w:uiPriority w:val="99"/>
    <w:unhideWhenUsed/>
    <w:rsid w:val="00F6539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6539E"/>
  </w:style>
  <w:style w:type="paragraph" w:styleId="Footer">
    <w:name w:val="footer"/>
    <w:basedOn w:val="Normal"/>
    <w:link w:val="FooterChar"/>
    <w:uiPriority w:val="99"/>
    <w:unhideWhenUsed/>
    <w:rsid w:val="00F6539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65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44153">
      <w:bodyDiv w:val="1"/>
      <w:marLeft w:val="0"/>
      <w:marRight w:val="0"/>
      <w:marTop w:val="0"/>
      <w:marBottom w:val="0"/>
      <w:divBdr>
        <w:top w:val="none" w:sz="0" w:space="0" w:color="auto"/>
        <w:left w:val="none" w:sz="0" w:space="0" w:color="auto"/>
        <w:bottom w:val="none" w:sz="0" w:space="0" w:color="auto"/>
        <w:right w:val="none" w:sz="0" w:space="0" w:color="auto"/>
      </w:divBdr>
    </w:div>
    <w:div w:id="198978222">
      <w:bodyDiv w:val="1"/>
      <w:marLeft w:val="0"/>
      <w:marRight w:val="0"/>
      <w:marTop w:val="0"/>
      <w:marBottom w:val="0"/>
      <w:divBdr>
        <w:top w:val="none" w:sz="0" w:space="0" w:color="auto"/>
        <w:left w:val="none" w:sz="0" w:space="0" w:color="auto"/>
        <w:bottom w:val="none" w:sz="0" w:space="0" w:color="auto"/>
        <w:right w:val="none" w:sz="0" w:space="0" w:color="auto"/>
      </w:divBdr>
    </w:div>
    <w:div w:id="345402709">
      <w:bodyDiv w:val="1"/>
      <w:marLeft w:val="0"/>
      <w:marRight w:val="0"/>
      <w:marTop w:val="0"/>
      <w:marBottom w:val="0"/>
      <w:divBdr>
        <w:top w:val="none" w:sz="0" w:space="0" w:color="auto"/>
        <w:left w:val="none" w:sz="0" w:space="0" w:color="auto"/>
        <w:bottom w:val="none" w:sz="0" w:space="0" w:color="auto"/>
        <w:right w:val="none" w:sz="0" w:space="0" w:color="auto"/>
      </w:divBdr>
    </w:div>
    <w:div w:id="566962640">
      <w:bodyDiv w:val="1"/>
      <w:marLeft w:val="0"/>
      <w:marRight w:val="0"/>
      <w:marTop w:val="0"/>
      <w:marBottom w:val="0"/>
      <w:divBdr>
        <w:top w:val="none" w:sz="0" w:space="0" w:color="auto"/>
        <w:left w:val="none" w:sz="0" w:space="0" w:color="auto"/>
        <w:bottom w:val="none" w:sz="0" w:space="0" w:color="auto"/>
        <w:right w:val="none" w:sz="0" w:space="0" w:color="auto"/>
      </w:divBdr>
    </w:div>
    <w:div w:id="1358194992">
      <w:bodyDiv w:val="1"/>
      <w:marLeft w:val="0"/>
      <w:marRight w:val="0"/>
      <w:marTop w:val="0"/>
      <w:marBottom w:val="0"/>
      <w:divBdr>
        <w:top w:val="none" w:sz="0" w:space="0" w:color="auto"/>
        <w:left w:val="none" w:sz="0" w:space="0" w:color="auto"/>
        <w:bottom w:val="none" w:sz="0" w:space="0" w:color="auto"/>
        <w:right w:val="none" w:sz="0" w:space="0" w:color="auto"/>
      </w:divBdr>
    </w:div>
    <w:div w:id="2064988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792</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21</cp:revision>
  <dcterms:created xsi:type="dcterms:W3CDTF">2025-04-14T03:13:00Z</dcterms:created>
  <dcterms:modified xsi:type="dcterms:W3CDTF">2025-04-14T05:05:00Z</dcterms:modified>
</cp:coreProperties>
</file>