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12FF" w14:textId="77777777" w:rsidR="00340F2F" w:rsidRPr="001C039D" w:rsidRDefault="00000000" w:rsidP="001C039D">
      <w:pPr>
        <w:pStyle w:val="Heading1"/>
        <w:spacing w:before="0" w:after="240"/>
        <w:jc w:val="center"/>
        <w:rPr>
          <w:rFonts w:asciiTheme="minorBidi" w:hAnsiTheme="minorBidi" w:cstheme="minorBidi"/>
          <w:b/>
          <w:color w:val="000000"/>
          <w:sz w:val="22"/>
          <w:szCs w:val="22"/>
          <w:u w:val="single"/>
        </w:rPr>
      </w:pPr>
      <w:r w:rsidRPr="001C039D">
        <w:rPr>
          <w:rFonts w:asciiTheme="minorBidi" w:hAnsiTheme="minorBidi" w:cstheme="minorBidi"/>
          <w:b/>
          <w:color w:val="000000"/>
          <w:sz w:val="22"/>
          <w:szCs w:val="22"/>
          <w:u w:val="single"/>
        </w:rPr>
        <w:t xml:space="preserve">Trabajo Práctico </w:t>
      </w:r>
      <w:proofErr w:type="spellStart"/>
      <w:r w:rsidRPr="001C039D">
        <w:rPr>
          <w:rFonts w:asciiTheme="minorBidi" w:hAnsiTheme="minorBidi" w:cstheme="minorBidi"/>
          <w:b/>
          <w:color w:val="000000"/>
          <w:sz w:val="22"/>
          <w:szCs w:val="22"/>
          <w:u w:val="single"/>
        </w:rPr>
        <w:t>Nº</w:t>
      </w:r>
      <w:proofErr w:type="spellEnd"/>
      <w:r w:rsidRPr="001C039D">
        <w:rPr>
          <w:rFonts w:asciiTheme="minorBidi" w:hAnsiTheme="minorBidi" w:cstheme="minorBidi"/>
          <w:b/>
          <w:color w:val="000000"/>
          <w:sz w:val="22"/>
          <w:szCs w:val="22"/>
          <w:u w:val="single"/>
        </w:rPr>
        <w:t xml:space="preserve"> 26: Traumatismo de Cráneo</w:t>
      </w:r>
    </w:p>
    <w:p w14:paraId="060C93D0" w14:textId="77777777" w:rsidR="00340F2F" w:rsidRDefault="00000000" w:rsidP="001C24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Theme="minorBidi" w:eastAsia="Arial" w:hAnsiTheme="minorBidi" w:cstheme="minorBidi"/>
          <w:b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Definición de Traumatismo de Cráneo</w:t>
      </w:r>
    </w:p>
    <w:p w14:paraId="21625176" w14:textId="0F996FFD" w:rsidR="001C039D" w:rsidRPr="001C039D" w:rsidRDefault="001C039D" w:rsidP="001C039D">
      <w:p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lang w:eastAsia="zh-CN"/>
        </w:rPr>
        <w:t xml:space="preserve">Un </w:t>
      </w:r>
      <w:r w:rsidRPr="001C2421">
        <w:rPr>
          <w:rFonts w:asciiTheme="minorBidi" w:eastAsia="Times New Roman" w:hAnsiTheme="minorBidi" w:cstheme="minorBidi"/>
          <w:b/>
          <w:bCs/>
          <w:lang w:eastAsia="zh-CN"/>
        </w:rPr>
        <w:t>traumatismo de cráneo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 es cualquier lesión producida por una fuerza externa aplicada a la cabeza que puede causar daño a los tejidos craneales y encefálicos. Incluye desde contusiones y laceraciones del cuero cabelludo y cráneo hasta lesiones cerebrales primarias (impacto directo) y secundarias (isquemia, edema, inflamación). El término clínico más usado para referirse al daño cerebral por estas causas es traumatismo encéfalo craneal (TEC).</w:t>
      </w:r>
    </w:p>
    <w:p w14:paraId="2B8F3781" w14:textId="77777777" w:rsidR="00340F2F" w:rsidRDefault="00000000" w:rsidP="001C24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Theme="minorBidi" w:eastAsia="Arial" w:hAnsiTheme="minorBidi" w:cstheme="minorBidi"/>
          <w:b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¿Cuáles son los cambios conductuales y cognitivos que se observan en un paciente con traumatismo encéfalo craneal (TEC) y por qué?</w:t>
      </w:r>
    </w:p>
    <w:p w14:paraId="61E99E72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Alteraciones de la atención y vigilancia</w:t>
      </w:r>
      <w:r w:rsidRPr="001C039D">
        <w:rPr>
          <w:rFonts w:asciiTheme="minorBidi" w:eastAsia="Times New Roman" w:hAnsiTheme="minorBidi" w:cstheme="minorBidi"/>
          <w:lang w:eastAsia="zh-CN"/>
        </w:rPr>
        <w:t>: fatiga mental, distracción fácil, incapacidad para mantener atención sostenida o dividirla entre tareas.</w:t>
      </w:r>
    </w:p>
    <w:p w14:paraId="5A706E6D" w14:textId="77777777" w:rsidR="001C039D" w:rsidRPr="001C039D" w:rsidRDefault="001C039D" w:rsidP="001C039D">
      <w:pPr>
        <w:numPr>
          <w:ilvl w:val="0"/>
          <w:numId w:val="2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: daño a redes frontoparietales y a sistemas subcorticales moduladores (talámicos,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arousal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t>) que sostienen la atención.</w:t>
      </w:r>
    </w:p>
    <w:p w14:paraId="264944D5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Déficits de memoria</w:t>
      </w:r>
      <w:r w:rsidRPr="001C039D">
        <w:rPr>
          <w:rFonts w:asciiTheme="minorBidi" w:eastAsia="Times New Roman" w:hAnsiTheme="minorBidi" w:cstheme="minorBidi"/>
          <w:lang w:eastAsia="zh-CN"/>
        </w:rPr>
        <w:t>: dificultades para aprender nueva información (memoria anterógrada), olvidar detalles recientes, problemas con la memoria de trabajo.</w:t>
      </w:r>
    </w:p>
    <w:p w14:paraId="63E2752C" w14:textId="77777777" w:rsidR="001C039D" w:rsidRPr="001C039D" w:rsidRDefault="001C039D" w:rsidP="001C039D">
      <w:pPr>
        <w:numPr>
          <w:ilvl w:val="0"/>
          <w:numId w:val="2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: lesión hipocampal parcial, conexones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temporo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noBreakHyphen/>
        <w:t>frontales y fallas en la consolidación por alteración de los procesos atencionales y de procesamiento ejecutivo.</w:t>
      </w:r>
    </w:p>
    <w:p w14:paraId="01B5F201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Trastornos ejecutivos</w:t>
      </w:r>
      <w:r w:rsidRPr="001C039D">
        <w:rPr>
          <w:rFonts w:asciiTheme="minorBidi" w:eastAsia="Times New Roman" w:hAnsiTheme="minorBidi" w:cstheme="minorBidi"/>
          <w:lang w:eastAsia="zh-CN"/>
        </w:rPr>
        <w:t>: planificación pobre, impulsividad, perseveraciones, dificultad para iniciar o inhibir conductas, pobre juicio.</w:t>
      </w:r>
    </w:p>
    <w:p w14:paraId="3C11BBBF" w14:textId="77777777" w:rsidR="001C039D" w:rsidRPr="001C039D" w:rsidRDefault="001C039D" w:rsidP="001C039D">
      <w:pPr>
        <w:numPr>
          <w:ilvl w:val="0"/>
          <w:numId w:val="2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>: afectación de la corteza prefrontal y de sus circuitos con ganglios basales y tálamo que controlan regulación, toma de decisiones y control inhibitorio.</w:t>
      </w:r>
    </w:p>
    <w:p w14:paraId="0F5C6EC0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Velocidad de procesamiento reducida</w:t>
      </w:r>
      <w:r w:rsidRPr="001C039D">
        <w:rPr>
          <w:rFonts w:asciiTheme="minorBidi" w:eastAsia="Times New Roman" w:hAnsiTheme="minorBidi" w:cstheme="minorBidi"/>
          <w:lang w:eastAsia="zh-CN"/>
        </w:rPr>
        <w:t>: todo lleva más tiempo; respuestas lentas a estímulos y mayor esfuerzo cognitivo.</w:t>
      </w:r>
    </w:p>
    <w:p w14:paraId="6811767E" w14:textId="77777777" w:rsidR="001C039D" w:rsidRPr="001C039D" w:rsidRDefault="001C039D" w:rsidP="001C039D">
      <w:pPr>
        <w:numPr>
          <w:ilvl w:val="0"/>
          <w:numId w:val="2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>: daño difuso de conectividad axonal y sincronicidad entre regiones corticales.</w:t>
      </w:r>
    </w:p>
    <w:p w14:paraId="00FBA934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Alteraciones del lenguaje y praxis</w:t>
      </w:r>
      <w:r w:rsidRPr="001C039D">
        <w:rPr>
          <w:rFonts w:asciiTheme="minorBidi" w:eastAsia="Times New Roman" w:hAnsiTheme="minorBidi" w:cstheme="minorBidi"/>
          <w:lang w:eastAsia="zh-CN"/>
        </w:rPr>
        <w:t>: anomia, discurso menos fluido, dificultades en secuenciar acciones motoras.</w:t>
      </w:r>
    </w:p>
    <w:p w14:paraId="5196D2CE" w14:textId="77777777" w:rsidR="001C039D" w:rsidRPr="001C039D" w:rsidRDefault="001C039D" w:rsidP="001C039D">
      <w:pPr>
        <w:numPr>
          <w:ilvl w:val="0"/>
          <w:numId w:val="2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: lesiones focales en áreas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perisilvianas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t xml:space="preserve"> o por desconexión de redes lingüísticas.</w:t>
      </w:r>
    </w:p>
    <w:p w14:paraId="22221B68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Cambios emocionales y conducta social</w:t>
      </w:r>
      <w:r w:rsidRPr="001C039D">
        <w:rPr>
          <w:rFonts w:asciiTheme="minorBidi" w:eastAsia="Times New Roman" w:hAnsiTheme="minorBidi" w:cstheme="minorBidi"/>
          <w:lang w:eastAsia="zh-CN"/>
        </w:rPr>
        <w:t>: irritabilidad, labilidad emocional, apatía, desinhibición, problemas para interpretar señales sociales.</w:t>
      </w:r>
    </w:p>
    <w:p w14:paraId="1182194F" w14:textId="77777777" w:rsidR="001C039D" w:rsidRPr="001C039D" w:rsidRDefault="001C039D" w:rsidP="001C039D">
      <w:pPr>
        <w:numPr>
          <w:ilvl w:val="0"/>
          <w:numId w:val="2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: daño a circuitos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fronto</w:t>
      </w:r>
      <w:r w:rsidRPr="001C039D">
        <w:rPr>
          <w:rFonts w:asciiTheme="minorBidi" w:eastAsia="Times New Roman" w:hAnsiTheme="minorBidi" w:cstheme="minorBidi"/>
          <w:lang w:eastAsia="zh-CN"/>
        </w:rPr>
        <w:noBreakHyphen/>
        <w:t>limbicos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t xml:space="preserve"> (amígdala, corteza prefrontal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ventromedial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t>) y a las vías que regulan el afecto y la motivación.</w:t>
      </w:r>
    </w:p>
    <w:p w14:paraId="4711ABD6" w14:textId="77777777" w:rsidR="001C039D" w:rsidRPr="001C039D" w:rsidRDefault="001C039D" w:rsidP="001C039D">
      <w:pPr>
        <w:spacing w:before="100" w:beforeAutospacing="1" w:after="0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Problemas sensoriomotores</w:t>
      </w:r>
      <w:r w:rsidRPr="001C039D">
        <w:rPr>
          <w:rFonts w:asciiTheme="minorBidi" w:eastAsia="Times New Roman" w:hAnsiTheme="minorBidi" w:cstheme="minorBidi"/>
          <w:lang w:eastAsia="zh-CN"/>
        </w:rPr>
        <w:t>: debilidad focal, coordinación alterada, alteraciones vestibulares o sensitivas.</w:t>
      </w:r>
    </w:p>
    <w:p w14:paraId="4267940E" w14:textId="0BBAE23B" w:rsidR="001C039D" w:rsidRPr="001C2421" w:rsidRDefault="001C039D" w:rsidP="001C242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Bidi" w:eastAsia="Arial" w:hAnsiTheme="minorBidi" w:cstheme="minorBidi"/>
          <w:b/>
          <w:color w:val="000000"/>
        </w:rPr>
      </w:pPr>
      <w:r w:rsidRPr="001C039D">
        <w:rPr>
          <w:rFonts w:asciiTheme="minorBidi" w:eastAsia="Times New Roman" w:hAnsiTheme="minorBidi" w:cstheme="minorBidi"/>
          <w:u w:val="single"/>
          <w:lang w:eastAsia="zh-CN"/>
        </w:rPr>
        <w:t>Causa</w:t>
      </w:r>
      <w:r w:rsidRPr="001C039D">
        <w:rPr>
          <w:rFonts w:asciiTheme="minorBidi" w:eastAsia="Times New Roman" w:hAnsiTheme="minorBidi" w:cstheme="minorBidi"/>
          <w:lang w:eastAsia="zh-CN"/>
        </w:rPr>
        <w:t>: lesiones corticales, cerebelosas o de sustancia blanca que afectan vías motoras y sensoriales.</w:t>
      </w:r>
    </w:p>
    <w:p w14:paraId="00BD6306" w14:textId="77777777" w:rsidR="001C2421" w:rsidRPr="001C2421" w:rsidRDefault="001C2421" w:rsidP="001C24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Bidi" w:eastAsia="Arial" w:hAnsiTheme="minorBidi" w:cstheme="minorBidi"/>
          <w:b/>
          <w:color w:val="000000"/>
        </w:rPr>
      </w:pPr>
    </w:p>
    <w:p w14:paraId="30511865" w14:textId="77777777" w:rsidR="00340F2F" w:rsidRDefault="00000000" w:rsidP="001C24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2"/>
        <w:jc w:val="both"/>
        <w:rPr>
          <w:rFonts w:asciiTheme="minorBidi" w:eastAsia="Arial" w:hAnsiTheme="minorBidi" w:cstheme="minorBidi"/>
          <w:b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¿Cuál es la importancia de la evaluación neuropsicológica tras sufrir un TEC?</w:t>
      </w:r>
    </w:p>
    <w:p w14:paraId="30C92446" w14:textId="52EA907D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Diagnóstico funcional preciso —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Permite identificar qué dominios cognitivos, emocionales y conductuales están afectados (atención, memoria, funciones ejecutivas, velocidad de procesamiento, control emocional) y cuantificar su gravedad para distinguir secuelas directas del TEC de otros problemas previos o comórbidos.</w:t>
      </w:r>
    </w:p>
    <w:p w14:paraId="0F20343B" w14:textId="2E0C5782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lastRenderedPageBreak/>
        <w:t>Planificación de la rehabilitación —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Orienta la selección de intervenciones específicas (rehabilitación cognitiva, terapia ocupacional, psicoterapia, estrategias compensatorias) y prioriza objetivos terapéuticos según el perfil neuropsicológico del paciente.</w:t>
      </w:r>
    </w:p>
    <w:p w14:paraId="16D57633" w14:textId="1F8FD3C6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Pronóstico y seguimiento longitudinal —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Proporciona líneas base objetivas para medir recuperación, identificar estancamientos o empeoramientos, y ajustar el plan terapéutico a lo largo del tiempo.</w:t>
      </w:r>
    </w:p>
    <w:p w14:paraId="076F0812" w14:textId="6C9AE876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Detección de comorbilidades psiquiátricas —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Facilita la identificación temprana de depresión, ansiedad, apatía, trastorno por estrés postraumático y psicosis, condiciones que influyen fuertemente en la recuperación funcional y requieren tratamiento específico.</w:t>
      </w:r>
    </w:p>
    <w:p w14:paraId="0217E786" w14:textId="7D9FE081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Orientación para reinserción social y laboral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</w:t>
      </w:r>
      <w:r w:rsidRPr="001C039D">
        <w:rPr>
          <w:rFonts w:asciiTheme="minorBidi" w:eastAsia="Arial" w:hAnsiTheme="minorBidi" w:cstheme="minorBidi"/>
          <w:b/>
          <w:color w:val="000000"/>
        </w:rPr>
        <w:t>—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Informa decisiones sobre retorno al trabajo, necesidad de adaptaciones, limitaciones en conducción y manejo de riesgos, y elaboración de recomendaciones concretas para familiares y empleadores.</w:t>
      </w:r>
    </w:p>
    <w:p w14:paraId="755CE9D3" w14:textId="2D34B702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Comunicación con la familia y cuidadores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</w:t>
      </w:r>
      <w:r w:rsidRPr="001C039D">
        <w:rPr>
          <w:rFonts w:asciiTheme="minorBidi" w:eastAsia="Arial" w:hAnsiTheme="minorBidi" w:cstheme="minorBidi"/>
          <w:b/>
          <w:color w:val="000000"/>
        </w:rPr>
        <w:t xml:space="preserve">— </w:t>
      </w:r>
      <w:r w:rsidRPr="001C039D">
        <w:rPr>
          <w:rFonts w:asciiTheme="minorBidi" w:eastAsia="Arial" w:hAnsiTheme="minorBidi" w:cstheme="minorBidi"/>
          <w:bCs/>
          <w:color w:val="000000"/>
        </w:rPr>
        <w:t>Traduce déficits neurocognitivos en limitaciones prácticas y estrategias compensatorias, reduciendo la incertidumbre familiar y mejorando el manejo cotidiano del paciente.</w:t>
      </w:r>
    </w:p>
    <w:p w14:paraId="0F0F204B" w14:textId="08834608" w:rsidR="001C039D" w:rsidRPr="001C039D" w:rsidRDefault="001C039D" w:rsidP="001C039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Bidi" w:eastAsia="Arial" w:hAnsiTheme="minorBidi" w:cstheme="minorBidi"/>
          <w:bCs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 xml:space="preserve">Valor </w:t>
      </w:r>
      <w:proofErr w:type="gramStart"/>
      <w:r w:rsidRPr="001C039D">
        <w:rPr>
          <w:rFonts w:asciiTheme="minorBidi" w:eastAsia="Arial" w:hAnsiTheme="minorBidi" w:cstheme="minorBidi"/>
          <w:b/>
          <w:color w:val="000000"/>
        </w:rPr>
        <w:t>médico-legal</w:t>
      </w:r>
      <w:proofErr w:type="gramEnd"/>
      <w:r w:rsidRPr="001C039D">
        <w:rPr>
          <w:rFonts w:asciiTheme="minorBidi" w:eastAsia="Arial" w:hAnsiTheme="minorBidi" w:cstheme="minorBidi"/>
          <w:b/>
          <w:color w:val="000000"/>
        </w:rPr>
        <w:t xml:space="preserve"> y planificación social</w:t>
      </w:r>
      <w:r w:rsidRPr="001C039D">
        <w:rPr>
          <w:rFonts w:asciiTheme="minorBidi" w:eastAsia="Arial" w:hAnsiTheme="minorBidi" w:cstheme="minorBidi"/>
          <w:bCs/>
          <w:color w:val="000000"/>
        </w:rPr>
        <w:t xml:space="preserve"> </w:t>
      </w:r>
      <w:r w:rsidRPr="001C039D">
        <w:rPr>
          <w:rFonts w:asciiTheme="minorBidi" w:eastAsia="Arial" w:hAnsiTheme="minorBidi" w:cstheme="minorBidi"/>
          <w:b/>
          <w:color w:val="000000"/>
        </w:rPr>
        <w:t xml:space="preserve">— </w:t>
      </w:r>
      <w:r w:rsidRPr="001C039D">
        <w:rPr>
          <w:rFonts w:asciiTheme="minorBidi" w:eastAsia="Arial" w:hAnsiTheme="minorBidi" w:cstheme="minorBidi"/>
          <w:bCs/>
          <w:color w:val="000000"/>
        </w:rPr>
        <w:t>Aporta evidencia objetiva útil para certificaciones de discapacidad, trámites legales, y planificación de apoyos a largo plazo cuando las secuelas son persistentes; más del 50% de los sobrevivientes pueden presentar discapacidad funcional que requiere este tipo de planificación.</w:t>
      </w:r>
    </w:p>
    <w:p w14:paraId="3221ADF0" w14:textId="77777777" w:rsidR="00340F2F" w:rsidRDefault="00000000" w:rsidP="001C24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2"/>
        <w:jc w:val="both"/>
        <w:rPr>
          <w:rFonts w:asciiTheme="minorBidi" w:eastAsia="Arial" w:hAnsiTheme="minorBidi" w:cstheme="minorBidi"/>
          <w:b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¿Qué es el daño axonal difuso? ¿cuáles son las consecuencias?</w:t>
      </w:r>
    </w:p>
    <w:p w14:paraId="60FA6CC4" w14:textId="77777777" w:rsidR="001C2421" w:rsidRPr="001C039D" w:rsidRDefault="001C2421" w:rsidP="001C2421">
      <w:p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>
        <w:rPr>
          <w:rFonts w:asciiTheme="minorBidi" w:eastAsia="Times New Roman" w:hAnsiTheme="minorBidi" w:cstheme="minorBidi"/>
          <w:lang w:eastAsia="zh-CN"/>
        </w:rPr>
        <w:t xml:space="preserve">El </w:t>
      </w: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Daño Axonal Difuso</w:t>
      </w:r>
      <w:r>
        <w:rPr>
          <w:rFonts w:asciiTheme="minorBidi" w:eastAsia="Times New Roman" w:hAnsiTheme="minorBidi" w:cstheme="minorBidi"/>
          <w:lang w:eastAsia="zh-CN"/>
        </w:rPr>
        <w:t xml:space="preserve"> es una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 lesión microscópica o macroscópica de los axones producida por fuerzas de aceleración</w:t>
      </w:r>
      <w:r w:rsidRPr="001C039D">
        <w:rPr>
          <w:rFonts w:asciiTheme="minorBidi" w:eastAsia="Times New Roman" w:hAnsiTheme="minorBidi" w:cstheme="minorBidi"/>
          <w:lang w:eastAsia="zh-CN"/>
        </w:rPr>
        <w:noBreakHyphen/>
        <w:t>desaceleración y rotación de la cabeza que estiran y lesionan las fibras de sustancia blanca; puede estar distribuida en múltiples regiones (corona radiada, cuerpo calloso, tronco encefálico).</w:t>
      </w:r>
    </w:p>
    <w:p w14:paraId="022B79FE" w14:textId="77777777" w:rsidR="001C2421" w:rsidRPr="001C039D" w:rsidRDefault="001C2421" w:rsidP="001C242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Consecuencias inmediatas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: alteración de la transmisión nerviosa, pérdida de conciencia prolongada o coma, desregulación del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arousal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t>.</w:t>
      </w:r>
    </w:p>
    <w:p w14:paraId="58F3B022" w14:textId="77777777" w:rsidR="001C2421" w:rsidRPr="001C039D" w:rsidRDefault="001C2421" w:rsidP="001C242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Consecuencias a mediano y largo plazo</w:t>
      </w:r>
      <w:r w:rsidRPr="001C039D">
        <w:rPr>
          <w:rFonts w:asciiTheme="minorBidi" w:eastAsia="Times New Roman" w:hAnsiTheme="minorBidi" w:cstheme="minorBidi"/>
          <w:lang w:eastAsia="zh-CN"/>
        </w:rPr>
        <w:t xml:space="preserve">: déficits globales en velocidad de procesamiento, atención sostenida, memoria de trabajo y funciones ejecutivas; desconexión de redes funcionales que produce síntomas difusos y a menudo </w:t>
      </w:r>
      <w:proofErr w:type="spellStart"/>
      <w:r w:rsidRPr="001C039D">
        <w:rPr>
          <w:rFonts w:asciiTheme="minorBidi" w:eastAsia="Times New Roman" w:hAnsiTheme="minorBidi" w:cstheme="minorBidi"/>
          <w:lang w:eastAsia="zh-CN"/>
        </w:rPr>
        <w:t>discapacitantes</w:t>
      </w:r>
      <w:proofErr w:type="spellEnd"/>
      <w:r w:rsidRPr="001C039D">
        <w:rPr>
          <w:rFonts w:asciiTheme="minorBidi" w:eastAsia="Times New Roman" w:hAnsiTheme="minorBidi" w:cstheme="minorBidi"/>
          <w:lang w:eastAsia="zh-CN"/>
        </w:rPr>
        <w:t>; mayor riesgo de secuelas neuropsiquiátricas (apatía, desinhibición).</w:t>
      </w:r>
    </w:p>
    <w:p w14:paraId="072CE92F" w14:textId="2E62282E" w:rsidR="001C2421" w:rsidRPr="001C2421" w:rsidRDefault="001C2421" w:rsidP="001C242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Implicación pronóstica</w:t>
      </w:r>
      <w:r w:rsidRPr="001C039D">
        <w:rPr>
          <w:rFonts w:asciiTheme="minorBidi" w:eastAsia="Times New Roman" w:hAnsiTheme="minorBidi" w:cstheme="minorBidi"/>
          <w:lang w:eastAsia="zh-CN"/>
        </w:rPr>
        <w:t>: suele asociarse a peor pronóstico funcional cuanto más extenso es el daño, y frecuentemente exige rehabilitación multidisciplinaria y evaluación prolongada.</w:t>
      </w:r>
    </w:p>
    <w:p w14:paraId="46BBA2D6" w14:textId="2EC7ED43" w:rsidR="001C039D" w:rsidRPr="001C039D" w:rsidRDefault="00000000" w:rsidP="001C24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2"/>
        <w:jc w:val="both"/>
        <w:rPr>
          <w:rFonts w:asciiTheme="minorBidi" w:eastAsia="Arial" w:hAnsiTheme="minorBidi" w:cstheme="minorBidi"/>
          <w:b/>
          <w:color w:val="000000"/>
        </w:rPr>
      </w:pPr>
      <w:r w:rsidRPr="001C039D">
        <w:rPr>
          <w:rFonts w:asciiTheme="minorBidi" w:eastAsia="Arial" w:hAnsiTheme="minorBidi" w:cstheme="minorBidi"/>
          <w:b/>
          <w:color w:val="000000"/>
        </w:rPr>
        <w:t>Piensen en qué aspectos podrían falla</w:t>
      </w:r>
      <w:r w:rsidRPr="001C039D">
        <w:rPr>
          <w:rFonts w:asciiTheme="minorBidi" w:eastAsia="Arial" w:hAnsiTheme="minorBidi" w:cstheme="minorBidi"/>
          <w:b/>
        </w:rPr>
        <w:t>r</w:t>
      </w:r>
      <w:r w:rsidRPr="001C039D">
        <w:rPr>
          <w:rFonts w:asciiTheme="minorBidi" w:eastAsia="Arial" w:hAnsiTheme="minorBidi" w:cstheme="minorBidi"/>
          <w:b/>
          <w:color w:val="000000"/>
        </w:rPr>
        <w:t xml:space="preserve"> en la vida diaria de un paciente luego del impacto de un TEC. </w:t>
      </w:r>
    </w:p>
    <w:p w14:paraId="12FDB9E8" w14:textId="77777777" w:rsidR="001C039D" w:rsidRPr="001C039D" w:rsidRDefault="001C039D" w:rsidP="001C2421">
      <w:pPr>
        <w:numPr>
          <w:ilvl w:val="0"/>
          <w:numId w:val="5"/>
        </w:numPr>
        <w:spacing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Autocuidado</w:t>
      </w:r>
      <w:r w:rsidRPr="001C039D">
        <w:rPr>
          <w:rFonts w:asciiTheme="minorBidi" w:eastAsia="Times New Roman" w:hAnsiTheme="minorBidi" w:cstheme="minorBidi"/>
          <w:lang w:eastAsia="zh-CN"/>
        </w:rPr>
        <w:t>: olvidar pasos de higiene, dificultad para secuenciar tareas (ducha, medicación), falta de iniciativa para cuidarse.</w:t>
      </w:r>
    </w:p>
    <w:p w14:paraId="2AD1C27D" w14:textId="77777777" w:rsidR="001C039D" w:rsidRPr="001C039D" w:rsidRDefault="001C039D" w:rsidP="001C039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Manejo del hogar</w:t>
      </w:r>
      <w:r w:rsidRPr="001C039D">
        <w:rPr>
          <w:rFonts w:asciiTheme="minorBidi" w:eastAsia="Times New Roman" w:hAnsiTheme="minorBidi" w:cstheme="minorBidi"/>
          <w:lang w:eastAsia="zh-CN"/>
        </w:rPr>
        <w:t>: problemas para organizar compras, pagar facturas, seguir procedimientos domésticos complejos.</w:t>
      </w:r>
    </w:p>
    <w:p w14:paraId="4C1EFAA5" w14:textId="77777777" w:rsidR="001C039D" w:rsidRPr="001C039D" w:rsidRDefault="001C039D" w:rsidP="001C039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Trabajo y estudios</w:t>
      </w:r>
      <w:r w:rsidRPr="001C039D">
        <w:rPr>
          <w:rFonts w:asciiTheme="minorBidi" w:eastAsia="Times New Roman" w:hAnsiTheme="minorBidi" w:cstheme="minorBidi"/>
          <w:lang w:eastAsia="zh-CN"/>
        </w:rPr>
        <w:t>: incapacidad para mantener ritmo laboral, manejo de plazos, multitarea, aprendizaje de nuevas habilidades o regresar a estudios.</w:t>
      </w:r>
    </w:p>
    <w:p w14:paraId="5B825F7C" w14:textId="77777777" w:rsidR="001C039D" w:rsidRPr="001C039D" w:rsidRDefault="001C039D" w:rsidP="001C039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Conducción y seguridad</w:t>
      </w:r>
      <w:r w:rsidRPr="001C039D">
        <w:rPr>
          <w:rFonts w:asciiTheme="minorBidi" w:eastAsia="Times New Roman" w:hAnsiTheme="minorBidi" w:cstheme="minorBidi"/>
          <w:lang w:eastAsia="zh-CN"/>
        </w:rPr>
        <w:t>: lentitud de reacción, atención fluctuante y juicios erróneos que comprometen la conducción y la seguridad personal.</w:t>
      </w:r>
    </w:p>
    <w:p w14:paraId="33960631" w14:textId="77777777" w:rsidR="001C039D" w:rsidRPr="001C039D" w:rsidRDefault="001C039D" w:rsidP="001C039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Relaciones interpersonales</w:t>
      </w:r>
      <w:r w:rsidRPr="001C039D">
        <w:rPr>
          <w:rFonts w:asciiTheme="minorBidi" w:eastAsia="Times New Roman" w:hAnsiTheme="minorBidi" w:cstheme="minorBidi"/>
          <w:lang w:eastAsia="zh-CN"/>
        </w:rPr>
        <w:t>: irritabilidad, labilidad emocional, desinhibición o apatía que deterioran vínculos familiares y sociales.</w:t>
      </w:r>
    </w:p>
    <w:p w14:paraId="1D786018" w14:textId="77777777" w:rsidR="001C039D" w:rsidRPr="001C039D" w:rsidRDefault="001C039D" w:rsidP="001C039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Finanzas y toma de decisiones</w:t>
      </w:r>
      <w:r w:rsidRPr="001C039D">
        <w:rPr>
          <w:rFonts w:asciiTheme="minorBidi" w:eastAsia="Times New Roman" w:hAnsiTheme="minorBidi" w:cstheme="minorBidi"/>
          <w:lang w:eastAsia="zh-CN"/>
        </w:rPr>
        <w:t>: impulsividad o juicio pobre que pueden conducir a errores económicos o decisiones de riesgo.</w:t>
      </w:r>
    </w:p>
    <w:p w14:paraId="2E0B277A" w14:textId="77777777" w:rsidR="001C039D" w:rsidRPr="001C039D" w:rsidRDefault="001C039D" w:rsidP="001C039D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Tiempo libre y ocio</w:t>
      </w:r>
      <w:r w:rsidRPr="001C039D">
        <w:rPr>
          <w:rFonts w:asciiTheme="minorBidi" w:eastAsia="Times New Roman" w:hAnsiTheme="minorBidi" w:cstheme="minorBidi"/>
          <w:lang w:eastAsia="zh-CN"/>
        </w:rPr>
        <w:t>: pérdida de interés, fatiga cognitiva que impide participar en actividades sociales o recreativas.</w:t>
      </w:r>
    </w:p>
    <w:p w14:paraId="12113C73" w14:textId="7BFB4B69" w:rsidR="001C039D" w:rsidRPr="001C2421" w:rsidRDefault="001C039D" w:rsidP="001C242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inorBidi" w:eastAsia="Times New Roman" w:hAnsiTheme="minorBidi" w:cstheme="minorBidi"/>
          <w:lang w:eastAsia="zh-CN"/>
        </w:rPr>
      </w:pPr>
      <w:r w:rsidRPr="001C039D">
        <w:rPr>
          <w:rFonts w:asciiTheme="minorBidi" w:eastAsia="Times New Roman" w:hAnsiTheme="minorBidi" w:cstheme="minorBidi"/>
          <w:b/>
          <w:bCs/>
          <w:lang w:eastAsia="zh-CN"/>
        </w:rPr>
        <w:t>Cumplimiento terapéutico</w:t>
      </w:r>
      <w:r w:rsidRPr="001C039D">
        <w:rPr>
          <w:rFonts w:asciiTheme="minorBidi" w:eastAsia="Times New Roman" w:hAnsiTheme="minorBidi" w:cstheme="minorBidi"/>
          <w:lang w:eastAsia="zh-CN"/>
        </w:rPr>
        <w:t>: olvidar citas médicas, medicación o indicaciones de rehabilitación por problemas de memoria y organización.</w:t>
      </w:r>
    </w:p>
    <w:sectPr w:rsidR="001C039D" w:rsidRPr="001C2421" w:rsidSect="001C2421">
      <w:headerReference w:type="default" r:id="rId8"/>
      <w:pgSz w:w="11900" w:h="16840"/>
      <w:pgMar w:top="851" w:right="701" w:bottom="567" w:left="709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CEE4" w14:textId="77777777" w:rsidR="00D86AE5" w:rsidRDefault="00D86AE5">
      <w:pPr>
        <w:spacing w:after="0" w:line="240" w:lineRule="auto"/>
      </w:pPr>
      <w:r>
        <w:separator/>
      </w:r>
    </w:p>
  </w:endnote>
  <w:endnote w:type="continuationSeparator" w:id="0">
    <w:p w14:paraId="5D3AB496" w14:textId="77777777" w:rsidR="00D86AE5" w:rsidRDefault="00D86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0CD4" w14:textId="77777777" w:rsidR="00D86AE5" w:rsidRDefault="00D86AE5">
      <w:pPr>
        <w:spacing w:after="0" w:line="240" w:lineRule="auto"/>
      </w:pPr>
      <w:r>
        <w:separator/>
      </w:r>
    </w:p>
  </w:footnote>
  <w:footnote w:type="continuationSeparator" w:id="0">
    <w:p w14:paraId="4C6610A6" w14:textId="77777777" w:rsidR="00D86AE5" w:rsidRDefault="00D86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14E6" w14:textId="7707D669" w:rsidR="00340F2F" w:rsidRDefault="001C03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3AC8719" wp14:editId="26DCCC75">
          <wp:simplePos x="0" y="0"/>
          <wp:positionH relativeFrom="column">
            <wp:posOffset>5583555</wp:posOffset>
          </wp:positionH>
          <wp:positionV relativeFrom="paragraph">
            <wp:posOffset>-113665</wp:posOffset>
          </wp:positionV>
          <wp:extent cx="1143000" cy="409575"/>
          <wp:effectExtent l="0" t="0" r="0" b="9525"/>
          <wp:wrapSquare wrapText="bothSides" distT="0" distB="0" distL="114300" distR="114300"/>
          <wp:docPr id="1280119063" name="image1.png" descr="logo U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 U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  <w:sz w:val="20"/>
        <w:szCs w:val="20"/>
      </w:rPr>
      <w:t>FACULTAD DE CIENCIAS HUMANAS Y DE LA CONDUCTA</w:t>
    </w:r>
    <w:r w:rsidR="00000000">
      <w:rPr>
        <w:color w:val="000000"/>
        <w:sz w:val="20"/>
        <w:szCs w:val="20"/>
      </w:rPr>
      <w:br/>
      <w:t>CARRERA DE PSICOLOGÍA</w:t>
    </w:r>
  </w:p>
  <w:p w14:paraId="5DF0A6A0" w14:textId="77777777" w:rsidR="00340F2F" w:rsidRDefault="00340F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F4145"/>
    <w:multiLevelType w:val="multilevel"/>
    <w:tmpl w:val="8CBC86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F6E9D"/>
    <w:multiLevelType w:val="multilevel"/>
    <w:tmpl w:val="740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81DD7"/>
    <w:multiLevelType w:val="multilevel"/>
    <w:tmpl w:val="EA8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54FC7"/>
    <w:multiLevelType w:val="multilevel"/>
    <w:tmpl w:val="B3D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A2D80"/>
    <w:multiLevelType w:val="hybridMultilevel"/>
    <w:tmpl w:val="64C68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308A9"/>
    <w:multiLevelType w:val="multilevel"/>
    <w:tmpl w:val="D2C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434966">
    <w:abstractNumId w:val="0"/>
  </w:num>
  <w:num w:numId="2" w16cid:durableId="1223062137">
    <w:abstractNumId w:val="3"/>
  </w:num>
  <w:num w:numId="3" w16cid:durableId="731779348">
    <w:abstractNumId w:val="2"/>
  </w:num>
  <w:num w:numId="4" w16cid:durableId="1782336364">
    <w:abstractNumId w:val="5"/>
  </w:num>
  <w:num w:numId="5" w16cid:durableId="957569403">
    <w:abstractNumId w:val="1"/>
  </w:num>
  <w:num w:numId="6" w16cid:durableId="619259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2F"/>
    <w:rsid w:val="001C039D"/>
    <w:rsid w:val="001C2421"/>
    <w:rsid w:val="00340F2F"/>
    <w:rsid w:val="008F636A"/>
    <w:rsid w:val="00D8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7959D"/>
  <w15:docId w15:val="{B9A954AD-2A5D-4C5B-B181-F7984C74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7D"/>
    <w:rPr>
      <w:lang w:eastAsia="es-ES"/>
    </w:rPr>
  </w:style>
  <w:style w:type="paragraph" w:styleId="Heading1">
    <w:name w:val="heading 1"/>
    <w:basedOn w:val="Normal1"/>
    <w:next w:val="Normal1"/>
    <w:link w:val="Heading1Char"/>
    <w:uiPriority w:val="9"/>
    <w:qFormat/>
    <w:rsid w:val="00A6587D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A6587D"/>
    <w:rPr>
      <w:rFonts w:ascii="Calibri" w:eastAsia="Calibri" w:hAnsi="Calibri" w:cs="Calibri"/>
      <w:color w:val="2E75B5"/>
      <w:sz w:val="32"/>
      <w:szCs w:val="32"/>
      <w:lang w:val="es-ES" w:eastAsia="es-ES"/>
    </w:rPr>
  </w:style>
  <w:style w:type="paragraph" w:customStyle="1" w:styleId="Normal1">
    <w:name w:val="Normal1"/>
    <w:rsid w:val="00A6587D"/>
    <w:rPr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A658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87D"/>
    <w:rPr>
      <w:rFonts w:ascii="Calibri" w:eastAsia="Calibri" w:hAnsi="Calibri" w:cs="Calibri"/>
      <w:sz w:val="22"/>
      <w:szCs w:val="22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A658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87D"/>
    <w:rPr>
      <w:rFonts w:ascii="Calibri" w:eastAsia="Calibri" w:hAnsi="Calibri" w:cs="Calibri"/>
      <w:sz w:val="22"/>
      <w:szCs w:val="22"/>
      <w:lang w:val="es-ES" w:eastAsia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C0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EprfCxvtUF5FuRfR1im5oE/yA==">CgMxLjA4AHIhMUUzNlN2ZjFOTHBYR3lrY21RblBGcWFKRjR2ak5zdjBS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Franco Mendez Casariego</cp:lastModifiedBy>
  <cp:revision>2</cp:revision>
  <dcterms:created xsi:type="dcterms:W3CDTF">2020-11-19T21:20:00Z</dcterms:created>
  <dcterms:modified xsi:type="dcterms:W3CDTF">2025-11-12T14:05:00Z</dcterms:modified>
</cp:coreProperties>
</file>