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A2509" w14:textId="77777777" w:rsidR="00086CB2" w:rsidRPr="00EA0392" w:rsidRDefault="00EA0392" w:rsidP="00EA0392">
      <w:pPr>
        <w:pStyle w:val="Ttulo1"/>
        <w:jc w:val="both"/>
        <w:rPr>
          <w:lang w:val="es-AR"/>
        </w:rPr>
      </w:pPr>
      <w:bookmarkStart w:id="0" w:name="Xb3000b838e5bc6fd2deef486f64f73da712ffc1"/>
      <w:r w:rsidRPr="00EA0392">
        <w:rPr>
          <w:lang w:val="es-AR"/>
        </w:rPr>
        <w:t>Síntesis para resolver el problema de Neuropsicofarmacología</w:t>
      </w:r>
    </w:p>
    <w:p w14:paraId="240A250A" w14:textId="77777777" w:rsidR="00086CB2" w:rsidRPr="00EA0392" w:rsidRDefault="00EA0392" w:rsidP="00EA0392">
      <w:pPr>
        <w:pStyle w:val="Textodebloque"/>
        <w:jc w:val="both"/>
        <w:rPr>
          <w:lang w:val="es-AR"/>
        </w:rPr>
      </w:pPr>
      <w:r w:rsidRPr="00EA0392">
        <w:rPr>
          <w:lang w:val="es-AR"/>
        </w:rPr>
        <w:t xml:space="preserve">Recorte de la Clase 9 con </w:t>
      </w:r>
      <w:r w:rsidRPr="00EA0392">
        <w:rPr>
          <w:b/>
          <w:bCs/>
          <w:lang w:val="es-AR"/>
        </w:rPr>
        <w:t>solo lo necesario</w:t>
      </w:r>
      <w:r w:rsidRPr="00EA0392">
        <w:rPr>
          <w:lang w:val="es-AR"/>
        </w:rPr>
        <w:t xml:space="preserve"> para responder las consignas del PDF. </w:t>
      </w:r>
      <w:r w:rsidRPr="00EA0392">
        <w:rPr>
          <w:lang w:val="es-AR"/>
        </w:rPr>
        <w:t xml:space="preserve">Modelo del trabajo: estrés crónico por inmovilización (2 h/día × 10 días) en ratones, con amitriptilina (TCA, 10 mg/kg) y fluoxetina (SSRI, 20 mg/kg), en administración </w:t>
      </w:r>
      <w:r w:rsidRPr="00EA0392">
        <w:rPr>
          <w:b/>
          <w:bCs/>
          <w:lang w:val="es-AR"/>
        </w:rPr>
        <w:t>única (A)</w:t>
      </w:r>
      <w:r w:rsidRPr="00EA0392">
        <w:rPr>
          <w:lang w:val="es-AR"/>
        </w:rPr>
        <w:t xml:space="preserve"> vs </w:t>
      </w:r>
      <w:r w:rsidRPr="00EA0392">
        <w:rPr>
          <w:b/>
          <w:bCs/>
          <w:lang w:val="es-AR"/>
        </w:rPr>
        <w:t>crónica (C)</w:t>
      </w:r>
      <w:r w:rsidRPr="00EA0392">
        <w:rPr>
          <w:lang w:val="es-AR"/>
        </w:rPr>
        <w:t>.</w:t>
      </w:r>
    </w:p>
    <w:p w14:paraId="240A250B" w14:textId="77777777" w:rsidR="00086CB2" w:rsidRDefault="00EA0392" w:rsidP="00EA0392">
      <w:pPr>
        <w:jc w:val="both"/>
      </w:pPr>
      <w:r>
        <w:pict w14:anchorId="240A254B">
          <v:rect id="_x0000_i1130" style="width:0;height:1.5pt" o:hralign="center" o:hrstd="t" o:hr="t"/>
        </w:pict>
      </w:r>
    </w:p>
    <w:p w14:paraId="240A250C" w14:textId="77777777" w:rsidR="00086CB2" w:rsidRPr="00EA0392" w:rsidRDefault="00EA0392" w:rsidP="00EA0392">
      <w:pPr>
        <w:pStyle w:val="Ttulo2"/>
        <w:jc w:val="both"/>
        <w:rPr>
          <w:lang w:val="es-AR"/>
        </w:rPr>
      </w:pPr>
      <w:bookmarkStart w:id="1" w:name="X3866227abc19eccc683642e8879c471fb3e3819"/>
      <w:r w:rsidRPr="00EA0392">
        <w:rPr>
          <w:lang w:val="es-AR"/>
        </w:rPr>
        <w:t xml:space="preserve">0. Caja de herramientas mínima (la </w:t>
      </w:r>
      <w:proofErr w:type="spellStart"/>
      <w:r w:rsidRPr="00EA0392">
        <w:rPr>
          <w:lang w:val="es-AR"/>
        </w:rPr>
        <w:t>usás</w:t>
      </w:r>
      <w:proofErr w:type="spellEnd"/>
      <w:r w:rsidRPr="00EA0392">
        <w:rPr>
          <w:lang w:val="es-AR"/>
        </w:rPr>
        <w:t xml:space="preserve"> en todo)</w:t>
      </w:r>
    </w:p>
    <w:p w14:paraId="240A250D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 xml:space="preserve">Hipótesis </w:t>
      </w:r>
      <w:r w:rsidRPr="00EA0392">
        <w:rPr>
          <w:b/>
          <w:bCs/>
          <w:lang w:val="es-AR"/>
        </w:rPr>
        <w:t>monoaminérgica.</w:t>
      </w:r>
      <w:r w:rsidRPr="00EA0392">
        <w:rPr>
          <w:lang w:val="es-AR"/>
        </w:rPr>
        <w:t xml:space="preserve"> La depresión se asocia a un </w:t>
      </w:r>
      <w:r w:rsidRPr="00EA0392">
        <w:rPr>
          <w:b/>
          <w:bCs/>
          <w:lang w:val="es-AR"/>
        </w:rPr>
        <w:t>déficit funcional de monoaminas</w:t>
      </w:r>
      <w:r w:rsidRPr="00EA0392">
        <w:rPr>
          <w:lang w:val="es-AR"/>
        </w:rPr>
        <w:t xml:space="preserve"> en el SNC: noradrenalina (NA), serotonina (5-HT) y dopamina (DA). Es la base para leer los gráficos de neurotransmisores.</w:t>
      </w:r>
    </w:p>
    <w:p w14:paraId="240A250E" w14:textId="77777777" w:rsidR="00086CB2" w:rsidRPr="00EA0392" w:rsidRDefault="00EA0392" w:rsidP="00EA0392">
      <w:pPr>
        <w:pStyle w:val="Textoindependiente"/>
        <w:jc w:val="both"/>
        <w:rPr>
          <w:lang w:val="es-AR"/>
        </w:rPr>
      </w:pPr>
      <w:r w:rsidRPr="00EA0392">
        <w:rPr>
          <w:b/>
          <w:bCs/>
          <w:lang w:val="es-AR"/>
        </w:rPr>
        <w:t>Mecanismo de los dos fármacos del trabajo: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65"/>
        <w:gridCol w:w="1831"/>
        <w:gridCol w:w="2843"/>
        <w:gridCol w:w="2579"/>
      </w:tblGrid>
      <w:tr w:rsidR="00086CB2" w:rsidRPr="00EA0392" w14:paraId="240A2513" w14:textId="77777777" w:rsidTr="00086C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0A250F" w14:textId="77777777" w:rsidR="00086CB2" w:rsidRDefault="00EA0392" w:rsidP="00EA0392">
            <w:pPr>
              <w:pStyle w:val="Compact"/>
              <w:jc w:val="both"/>
            </w:pPr>
            <w:proofErr w:type="spellStart"/>
            <w:r>
              <w:t>Fármaco</w:t>
            </w:r>
            <w:proofErr w:type="spellEnd"/>
          </w:p>
        </w:tc>
        <w:tc>
          <w:tcPr>
            <w:tcW w:w="0" w:type="auto"/>
          </w:tcPr>
          <w:p w14:paraId="240A2510" w14:textId="77777777" w:rsidR="00086CB2" w:rsidRDefault="00EA0392" w:rsidP="00EA0392">
            <w:pPr>
              <w:pStyle w:val="Compact"/>
              <w:jc w:val="both"/>
            </w:pPr>
            <w:r>
              <w:t>Clase</w:t>
            </w:r>
          </w:p>
        </w:tc>
        <w:tc>
          <w:tcPr>
            <w:tcW w:w="0" w:type="auto"/>
          </w:tcPr>
          <w:p w14:paraId="240A2511" w14:textId="77777777" w:rsidR="00086CB2" w:rsidRDefault="00EA0392" w:rsidP="00EA0392">
            <w:pPr>
              <w:pStyle w:val="Compact"/>
              <w:jc w:val="both"/>
            </w:pPr>
            <w:r>
              <w:t>Q</w:t>
            </w:r>
            <w:r>
              <w:t>ué bloquea</w:t>
            </w:r>
          </w:p>
        </w:tc>
        <w:tc>
          <w:tcPr>
            <w:tcW w:w="0" w:type="auto"/>
          </w:tcPr>
          <w:p w14:paraId="240A2512" w14:textId="77777777" w:rsidR="00086CB2" w:rsidRPr="00EA0392" w:rsidRDefault="00EA0392" w:rsidP="00EA0392">
            <w:pPr>
              <w:pStyle w:val="Compact"/>
              <w:jc w:val="both"/>
              <w:rPr>
                <w:lang w:val="es-AR"/>
              </w:rPr>
            </w:pPr>
            <w:r w:rsidRPr="00EA0392">
              <w:rPr>
                <w:lang w:val="es-AR"/>
              </w:rPr>
              <w:t>Qué sube en la sinapsis</w:t>
            </w:r>
          </w:p>
        </w:tc>
      </w:tr>
      <w:tr w:rsidR="00086CB2" w14:paraId="240A2518" w14:textId="77777777">
        <w:tc>
          <w:tcPr>
            <w:tcW w:w="0" w:type="auto"/>
          </w:tcPr>
          <w:p w14:paraId="240A2514" w14:textId="77777777" w:rsidR="00086CB2" w:rsidRDefault="00EA0392" w:rsidP="00EA0392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Fluoxetina</w:t>
            </w:r>
            <w:proofErr w:type="spellEnd"/>
          </w:p>
        </w:tc>
        <w:tc>
          <w:tcPr>
            <w:tcW w:w="0" w:type="auto"/>
          </w:tcPr>
          <w:p w14:paraId="240A2515" w14:textId="77777777" w:rsidR="00086CB2" w:rsidRDefault="00EA0392" w:rsidP="00EA0392">
            <w:pPr>
              <w:pStyle w:val="Compact"/>
              <w:jc w:val="both"/>
            </w:pPr>
            <w:r>
              <w:t>ISRS</w:t>
            </w:r>
          </w:p>
        </w:tc>
        <w:tc>
          <w:tcPr>
            <w:tcW w:w="0" w:type="auto"/>
          </w:tcPr>
          <w:p w14:paraId="240A2516" w14:textId="77777777" w:rsidR="00086CB2" w:rsidRDefault="00EA0392" w:rsidP="00EA0392">
            <w:pPr>
              <w:pStyle w:val="Compact"/>
              <w:jc w:val="both"/>
            </w:pPr>
            <w:r>
              <w:t>transportador SERT</w:t>
            </w:r>
          </w:p>
        </w:tc>
        <w:tc>
          <w:tcPr>
            <w:tcW w:w="0" w:type="auto"/>
          </w:tcPr>
          <w:p w14:paraId="240A2517" w14:textId="77777777" w:rsidR="00086CB2" w:rsidRDefault="00EA0392" w:rsidP="00EA0392">
            <w:pPr>
              <w:pStyle w:val="Compact"/>
              <w:jc w:val="both"/>
            </w:pPr>
            <w:r>
              <w:rPr>
                <w:b/>
                <w:bCs/>
              </w:rPr>
              <w:t>5-HT</w:t>
            </w:r>
            <w:r>
              <w:t xml:space="preserve"> (selectivo)</w:t>
            </w:r>
          </w:p>
        </w:tc>
      </w:tr>
      <w:tr w:rsidR="00086CB2" w14:paraId="240A251D" w14:textId="77777777">
        <w:tc>
          <w:tcPr>
            <w:tcW w:w="0" w:type="auto"/>
          </w:tcPr>
          <w:p w14:paraId="240A2519" w14:textId="77777777" w:rsidR="00086CB2" w:rsidRDefault="00EA0392" w:rsidP="00EA0392">
            <w:pPr>
              <w:pStyle w:val="Compact"/>
              <w:jc w:val="both"/>
            </w:pPr>
            <w:r>
              <w:rPr>
                <w:b/>
                <w:bCs/>
              </w:rPr>
              <w:t>Amitriptilina</w:t>
            </w:r>
          </w:p>
        </w:tc>
        <w:tc>
          <w:tcPr>
            <w:tcW w:w="0" w:type="auto"/>
          </w:tcPr>
          <w:p w14:paraId="240A251A" w14:textId="77777777" w:rsidR="00086CB2" w:rsidRDefault="00EA0392" w:rsidP="00EA0392">
            <w:pPr>
              <w:pStyle w:val="Compact"/>
              <w:jc w:val="both"/>
            </w:pPr>
            <w:r>
              <w:t>Tricíclico (TCA)</w:t>
            </w:r>
          </w:p>
        </w:tc>
        <w:tc>
          <w:tcPr>
            <w:tcW w:w="0" w:type="auto"/>
          </w:tcPr>
          <w:p w14:paraId="240A251B" w14:textId="77777777" w:rsidR="00086CB2" w:rsidRPr="00EA0392" w:rsidRDefault="00EA0392" w:rsidP="00EA0392">
            <w:pPr>
              <w:pStyle w:val="Compact"/>
              <w:jc w:val="both"/>
              <w:rPr>
                <w:lang w:val="es-AR"/>
              </w:rPr>
            </w:pPr>
            <w:r w:rsidRPr="00EA0392">
              <w:rPr>
                <w:lang w:val="es-AR"/>
              </w:rPr>
              <w:t xml:space="preserve">recaptación de 5-HT </w:t>
            </w:r>
            <w:r w:rsidRPr="00EA0392">
              <w:rPr>
                <w:b/>
                <w:bCs/>
                <w:lang w:val="es-AR"/>
              </w:rPr>
              <w:t>y</w:t>
            </w:r>
            <w:r w:rsidRPr="00EA0392">
              <w:rPr>
                <w:lang w:val="es-AR"/>
              </w:rPr>
              <w:t xml:space="preserve"> NA</w:t>
            </w:r>
          </w:p>
        </w:tc>
        <w:tc>
          <w:tcPr>
            <w:tcW w:w="0" w:type="auto"/>
          </w:tcPr>
          <w:p w14:paraId="240A251C" w14:textId="77777777" w:rsidR="00086CB2" w:rsidRDefault="00EA0392" w:rsidP="00EA0392">
            <w:pPr>
              <w:pStyle w:val="Compact"/>
              <w:jc w:val="both"/>
            </w:pPr>
            <w:r>
              <w:rPr>
                <w:b/>
                <w:bCs/>
              </w:rPr>
              <w:t>5-HT + NA</w:t>
            </w:r>
          </w:p>
        </w:tc>
      </w:tr>
    </w:tbl>
    <w:p w14:paraId="240A251E" w14:textId="77777777" w:rsidR="00086CB2" w:rsidRPr="00EA0392" w:rsidRDefault="00EA0392" w:rsidP="00EA0392">
      <w:pPr>
        <w:pStyle w:val="Textoindependiente"/>
        <w:jc w:val="both"/>
        <w:rPr>
          <w:lang w:val="es-AR"/>
        </w:rPr>
      </w:pPr>
      <w:r w:rsidRPr="00EA0392">
        <w:rPr>
          <w:lang w:val="es-AR"/>
        </w:rPr>
        <w:t xml:space="preserve">Ambos son </w:t>
      </w:r>
      <w:r w:rsidRPr="00EA0392">
        <w:rPr>
          <w:b/>
          <w:bCs/>
          <w:lang w:val="es-AR"/>
        </w:rPr>
        <w:t>inhibidores de la recaptación</w:t>
      </w:r>
      <w:r w:rsidRPr="00EA0392">
        <w:rPr>
          <w:lang w:val="es-AR"/>
        </w:rPr>
        <w:t>: no son agonistas del receptor, sino que dejan al NT más tiempo en el espacio sináptico ("agonistas indirectos" funcionales). La amitriptilina además bloquea receptores muscarínicos/histaminérgicos/</w:t>
      </w:r>
      <w:r>
        <w:t>α</w:t>
      </w:r>
      <w:r w:rsidRPr="00EA0392">
        <w:rPr>
          <w:lang w:val="es-AR"/>
        </w:rPr>
        <w:t xml:space="preserve"> → más efectos adversos, pero eso no entra en este probl</w:t>
      </w:r>
      <w:r w:rsidRPr="00EA0392">
        <w:rPr>
          <w:lang w:val="es-AR"/>
        </w:rPr>
        <w:t>ema.</w:t>
      </w:r>
    </w:p>
    <w:p w14:paraId="240A251F" w14:textId="77777777" w:rsidR="00086CB2" w:rsidRPr="00EA0392" w:rsidRDefault="00EA0392" w:rsidP="00EA0392">
      <w:pPr>
        <w:pStyle w:val="Textoindependiente"/>
        <w:jc w:val="both"/>
        <w:rPr>
          <w:lang w:val="es-AR"/>
        </w:rPr>
      </w:pPr>
      <w:r w:rsidRPr="00EA0392">
        <w:rPr>
          <w:b/>
          <w:bCs/>
          <w:lang w:val="es-AR"/>
        </w:rPr>
        <w:t>El "retraso terapéutico" (clave del experimento A vs C):</w:t>
      </w:r>
    </w:p>
    <w:p w14:paraId="240A2520" w14:textId="77777777" w:rsidR="00086CB2" w:rsidRPr="00EA0392" w:rsidRDefault="00EA0392" w:rsidP="00EA0392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EA0392">
        <w:rPr>
          <w:lang w:val="es-AR"/>
        </w:rPr>
        <w:t xml:space="preserve">El NT sube en la sinapsis </w:t>
      </w:r>
      <w:r w:rsidRPr="00EA0392">
        <w:rPr>
          <w:b/>
          <w:bCs/>
          <w:lang w:val="es-AR"/>
        </w:rPr>
        <w:t>de inmediato</w:t>
      </w:r>
      <w:r w:rsidRPr="00EA0392">
        <w:rPr>
          <w:lang w:val="es-AR"/>
        </w:rPr>
        <w:t xml:space="preserve"> al dar el fármaco.</w:t>
      </w:r>
    </w:p>
    <w:p w14:paraId="240A2521" w14:textId="77777777" w:rsidR="00086CB2" w:rsidRPr="00EA0392" w:rsidRDefault="00EA0392" w:rsidP="00EA0392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EA0392">
        <w:rPr>
          <w:lang w:val="es-AR"/>
        </w:rPr>
        <w:t xml:space="preserve">Pero el efecto clínico recién aparece a las </w:t>
      </w:r>
      <w:r w:rsidRPr="00EA0392">
        <w:rPr>
          <w:b/>
          <w:bCs/>
          <w:lang w:val="es-AR"/>
        </w:rPr>
        <w:t>2–4 semanas</w:t>
      </w:r>
      <w:r w:rsidRPr="00EA0392">
        <w:rPr>
          <w:lang w:val="es-AR"/>
        </w:rPr>
        <w:t>, cuando ocurre el reajuste lento de receptores (</w:t>
      </w:r>
      <w:proofErr w:type="spellStart"/>
      <w:r w:rsidRPr="00EA0392">
        <w:rPr>
          <w:b/>
          <w:bCs/>
          <w:lang w:val="es-AR"/>
        </w:rPr>
        <w:t>down-regulation</w:t>
      </w:r>
      <w:proofErr w:type="spellEnd"/>
      <w:r w:rsidRPr="00EA0392">
        <w:rPr>
          <w:lang w:val="es-AR"/>
        </w:rPr>
        <w:t xml:space="preserve"> compensatoria) y</w:t>
      </w:r>
      <w:r w:rsidRPr="00EA0392">
        <w:rPr>
          <w:lang w:val="es-AR"/>
        </w:rPr>
        <w:t xml:space="preserve"> la </w:t>
      </w:r>
      <w:r w:rsidRPr="00EA0392">
        <w:rPr>
          <w:b/>
          <w:bCs/>
          <w:lang w:val="es-AR"/>
        </w:rPr>
        <w:t>plasticidad neuronal</w:t>
      </w:r>
      <w:r w:rsidRPr="00EA0392">
        <w:rPr>
          <w:lang w:val="es-AR"/>
        </w:rPr>
        <w:t>.</w:t>
      </w:r>
    </w:p>
    <w:p w14:paraId="240A2522" w14:textId="77777777" w:rsidR="00086CB2" w:rsidRPr="00EA0392" w:rsidRDefault="00EA0392" w:rsidP="00EA0392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EA0392">
        <w:rPr>
          <w:lang w:val="es-AR"/>
        </w:rPr>
        <w:t xml:space="preserve">→ El mecanismo terapéutico real </w:t>
      </w:r>
      <w:r w:rsidRPr="00EA0392">
        <w:rPr>
          <w:b/>
          <w:bCs/>
          <w:lang w:val="es-AR"/>
        </w:rPr>
        <w:t>no es</w:t>
      </w:r>
      <w:r w:rsidRPr="00EA0392">
        <w:rPr>
          <w:lang w:val="es-AR"/>
        </w:rPr>
        <w:t xml:space="preserve"> el aumento agudo de NT, sino la </w:t>
      </w:r>
      <w:r w:rsidRPr="00EA0392">
        <w:rPr>
          <w:b/>
          <w:bCs/>
          <w:lang w:val="es-AR"/>
        </w:rPr>
        <w:t>adaptación lenta</w:t>
      </w:r>
      <w:r w:rsidRPr="00EA0392">
        <w:rPr>
          <w:lang w:val="es-AR"/>
        </w:rPr>
        <w:t xml:space="preserve"> del sistema.</w:t>
      </w:r>
    </w:p>
    <w:p w14:paraId="240A2523" w14:textId="77777777" w:rsidR="00086CB2" w:rsidRPr="00EA0392" w:rsidRDefault="00EA0392" w:rsidP="00EA0392">
      <w:pPr>
        <w:pStyle w:val="Compact"/>
        <w:numPr>
          <w:ilvl w:val="0"/>
          <w:numId w:val="2"/>
        </w:numPr>
        <w:jc w:val="both"/>
        <w:rPr>
          <w:lang w:val="es-AR"/>
        </w:rPr>
      </w:pPr>
      <w:r w:rsidRPr="00EA0392">
        <w:rPr>
          <w:lang w:val="es-AR"/>
        </w:rPr>
        <w:t xml:space="preserve">Esto explica por qué en el trabajo la administración </w:t>
      </w:r>
      <w:r w:rsidRPr="00EA0392">
        <w:rPr>
          <w:b/>
          <w:bCs/>
          <w:lang w:val="es-AR"/>
        </w:rPr>
        <w:t>crónica (C)</w:t>
      </w:r>
      <w:r w:rsidRPr="00EA0392">
        <w:rPr>
          <w:lang w:val="es-AR"/>
        </w:rPr>
        <w:t xml:space="preserve"> funciona y la </w:t>
      </w:r>
      <w:r w:rsidRPr="00EA0392">
        <w:rPr>
          <w:b/>
          <w:bCs/>
          <w:lang w:val="es-AR"/>
        </w:rPr>
        <w:t>única (A)</w:t>
      </w:r>
      <w:r w:rsidRPr="00EA0392">
        <w:rPr>
          <w:lang w:val="es-AR"/>
        </w:rPr>
        <w:t xml:space="preserve"> prácticamente no: una dosis sube el </w:t>
      </w:r>
      <w:proofErr w:type="gramStart"/>
      <w:r w:rsidRPr="00EA0392">
        <w:rPr>
          <w:lang w:val="es-AR"/>
        </w:rPr>
        <w:t>NT</w:t>
      </w:r>
      <w:proofErr w:type="gramEnd"/>
      <w:r w:rsidRPr="00EA0392">
        <w:rPr>
          <w:lang w:val="es-AR"/>
        </w:rPr>
        <w:t xml:space="preserve"> pe</w:t>
      </w:r>
      <w:r w:rsidRPr="00EA0392">
        <w:rPr>
          <w:lang w:val="es-AR"/>
        </w:rPr>
        <w:t>ro no alcanza a inducir la adaptación plástica.</w:t>
      </w:r>
    </w:p>
    <w:p w14:paraId="6BF1213F" w14:textId="77777777" w:rsidR="00EA0392" w:rsidRDefault="00EA0392" w:rsidP="00EA0392">
      <w:pPr>
        <w:jc w:val="both"/>
      </w:pPr>
    </w:p>
    <w:p w14:paraId="29DE6F00" w14:textId="77777777" w:rsidR="00EA0392" w:rsidRDefault="00EA0392" w:rsidP="00EA0392">
      <w:pPr>
        <w:jc w:val="both"/>
      </w:pPr>
    </w:p>
    <w:p w14:paraId="3D9DBD30" w14:textId="77777777" w:rsidR="00EA0392" w:rsidRDefault="00EA0392" w:rsidP="00EA0392">
      <w:pPr>
        <w:jc w:val="both"/>
      </w:pPr>
    </w:p>
    <w:p w14:paraId="401F5F19" w14:textId="77777777" w:rsidR="00EA0392" w:rsidRDefault="00EA0392" w:rsidP="00EA0392">
      <w:pPr>
        <w:jc w:val="both"/>
      </w:pPr>
    </w:p>
    <w:p w14:paraId="4AF90DFB" w14:textId="77777777" w:rsidR="00EA0392" w:rsidRDefault="00EA0392" w:rsidP="00EA0392">
      <w:pPr>
        <w:jc w:val="both"/>
      </w:pPr>
    </w:p>
    <w:p w14:paraId="6B2DF0F5" w14:textId="77777777" w:rsidR="00EA0392" w:rsidRDefault="00EA0392" w:rsidP="00EA0392">
      <w:pPr>
        <w:jc w:val="both"/>
      </w:pPr>
    </w:p>
    <w:p w14:paraId="7E6A4FC1" w14:textId="77777777" w:rsidR="00EA0392" w:rsidRDefault="00EA0392" w:rsidP="00EA0392">
      <w:pPr>
        <w:jc w:val="both"/>
      </w:pPr>
    </w:p>
    <w:p w14:paraId="5FB3E8EE" w14:textId="77777777" w:rsidR="00EA0392" w:rsidRDefault="00EA0392" w:rsidP="00EA0392">
      <w:pPr>
        <w:jc w:val="both"/>
      </w:pPr>
    </w:p>
    <w:p w14:paraId="3F0D09CF" w14:textId="77777777" w:rsidR="00EA0392" w:rsidRDefault="00EA0392" w:rsidP="00EA0392">
      <w:pPr>
        <w:jc w:val="both"/>
      </w:pPr>
    </w:p>
    <w:p w14:paraId="5210E6CD" w14:textId="77777777" w:rsidR="00EA0392" w:rsidRDefault="00EA0392" w:rsidP="00EA0392">
      <w:pPr>
        <w:jc w:val="both"/>
      </w:pPr>
    </w:p>
    <w:p w14:paraId="73977B26" w14:textId="77777777" w:rsidR="00EA0392" w:rsidRDefault="00EA0392" w:rsidP="00EA0392">
      <w:pPr>
        <w:jc w:val="both"/>
      </w:pPr>
    </w:p>
    <w:p w14:paraId="240A2524" w14:textId="6D73191E" w:rsidR="00086CB2" w:rsidRDefault="00EA0392" w:rsidP="00EA0392">
      <w:pPr>
        <w:jc w:val="both"/>
      </w:pPr>
      <w:r>
        <w:pict w14:anchorId="240A254C">
          <v:rect id="_x0000_i1131" style="width:0;height:1.5pt" o:hralign="center" o:hrstd="t" o:hr="t"/>
        </w:pict>
      </w:r>
    </w:p>
    <w:p w14:paraId="240A2525" w14:textId="77777777" w:rsidR="00086CB2" w:rsidRPr="00EA0392" w:rsidRDefault="00EA0392" w:rsidP="00EA0392">
      <w:pPr>
        <w:pStyle w:val="Ttulo2"/>
        <w:jc w:val="both"/>
        <w:rPr>
          <w:lang w:val="es-AR"/>
        </w:rPr>
      </w:pPr>
      <w:bookmarkStart w:id="2" w:name="X81502e04cd11300112351d3934734f81ad01425"/>
      <w:bookmarkEnd w:id="1"/>
      <w:r w:rsidRPr="00EA0392">
        <w:rPr>
          <w:lang w:val="es-AR"/>
        </w:rPr>
        <w:t>1. Prueba de nado forzado (FST) — primer bloque de gráficos</w:t>
      </w:r>
    </w:p>
    <w:p w14:paraId="240A2526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>Qué mide la prueba.</w:t>
      </w:r>
      <w:r w:rsidRPr="00EA0392">
        <w:rPr>
          <w:lang w:val="es-AR"/>
        </w:rPr>
        <w:t xml:space="preserve"> En el cilindro con agua:</w:t>
      </w:r>
    </w:p>
    <w:p w14:paraId="240A2527" w14:textId="77777777" w:rsidR="00086CB2" w:rsidRDefault="00EA0392" w:rsidP="00EA0392">
      <w:pPr>
        <w:pStyle w:val="Compact"/>
        <w:numPr>
          <w:ilvl w:val="0"/>
          <w:numId w:val="3"/>
        </w:numPr>
        <w:jc w:val="both"/>
      </w:pPr>
      <w:r w:rsidRPr="00EA0392">
        <w:rPr>
          <w:b/>
          <w:bCs/>
          <w:lang w:val="es-AR"/>
        </w:rPr>
        <w:t>Inmovilidad (</w:t>
      </w:r>
      <w:proofErr w:type="spellStart"/>
      <w:r w:rsidRPr="00EA0392">
        <w:rPr>
          <w:b/>
          <w:bCs/>
          <w:lang w:val="es-AR"/>
        </w:rPr>
        <w:t>immobility</w:t>
      </w:r>
      <w:proofErr w:type="spellEnd"/>
      <w:r w:rsidRPr="00EA0392">
        <w:rPr>
          <w:b/>
          <w:bCs/>
          <w:lang w:val="es-AR"/>
        </w:rPr>
        <w:t>):</w:t>
      </w:r>
      <w:r w:rsidRPr="00EA0392">
        <w:rPr>
          <w:lang w:val="es-AR"/>
        </w:rPr>
        <w:t xml:space="preserve"> índice de </w:t>
      </w:r>
      <w:r w:rsidRPr="00EA0392">
        <w:rPr>
          <w:i/>
          <w:iCs/>
          <w:lang w:val="es-AR"/>
        </w:rPr>
        <w:t>desesperanza conductual</w:t>
      </w:r>
      <w:r w:rsidRPr="00EA0392">
        <w:rPr>
          <w:lang w:val="es-AR"/>
        </w:rPr>
        <w:t xml:space="preserve"> → conducta tipo-depresiva. </w:t>
      </w:r>
      <w:r>
        <w:rPr>
          <w:b/>
          <w:bCs/>
        </w:rPr>
        <w:t xml:space="preserve">Más </w:t>
      </w:r>
      <w:proofErr w:type="spellStart"/>
      <w:r>
        <w:rPr>
          <w:b/>
          <w:bCs/>
        </w:rPr>
        <w:t>inmovilida</w:t>
      </w:r>
      <w:r>
        <w:rPr>
          <w:b/>
          <w:bCs/>
        </w:rPr>
        <w:t>d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más</w:t>
      </w:r>
      <w:proofErr w:type="spellEnd"/>
      <w:r>
        <w:rPr>
          <w:b/>
          <w:bCs/>
        </w:rPr>
        <w:t xml:space="preserve"> "depresión".</w:t>
      </w:r>
    </w:p>
    <w:p w14:paraId="240A2528" w14:textId="77777777" w:rsidR="00086CB2" w:rsidRDefault="00EA0392" w:rsidP="00EA0392">
      <w:pPr>
        <w:pStyle w:val="Compact"/>
        <w:numPr>
          <w:ilvl w:val="0"/>
          <w:numId w:val="3"/>
        </w:numPr>
        <w:jc w:val="both"/>
      </w:pPr>
      <w:r w:rsidRPr="00EA0392">
        <w:rPr>
          <w:b/>
          <w:bCs/>
          <w:lang w:val="es-AR"/>
        </w:rPr>
        <w:t>Nado activo (</w:t>
      </w:r>
      <w:proofErr w:type="spellStart"/>
      <w:r w:rsidRPr="00EA0392">
        <w:rPr>
          <w:b/>
          <w:bCs/>
          <w:lang w:val="es-AR"/>
        </w:rPr>
        <w:t>swimming</w:t>
      </w:r>
      <w:proofErr w:type="spellEnd"/>
      <w:r w:rsidRPr="00EA0392">
        <w:rPr>
          <w:b/>
          <w:bCs/>
          <w:lang w:val="es-AR"/>
        </w:rPr>
        <w:t>):</w:t>
      </w:r>
      <w:r w:rsidRPr="00EA0392">
        <w:rPr>
          <w:lang w:val="es-AR"/>
        </w:rPr>
        <w:t xml:space="preserve"> conducta de afrontamiento → revierte con antidepresivos (sobre todo serotoninérgicos). </w:t>
      </w:r>
      <w:r>
        <w:rPr>
          <w:b/>
          <w:bCs/>
        </w:rPr>
        <w:t xml:space="preserve">Más </w:t>
      </w:r>
      <w:proofErr w:type="spellStart"/>
      <w:r>
        <w:rPr>
          <w:b/>
          <w:bCs/>
        </w:rPr>
        <w:t>nado</w:t>
      </w:r>
      <w:proofErr w:type="spellEnd"/>
      <w:r>
        <w:rPr>
          <w:b/>
          <w:bCs/>
        </w:rPr>
        <w:t xml:space="preserve"> = </w:t>
      </w:r>
      <w:proofErr w:type="spellStart"/>
      <w:r>
        <w:rPr>
          <w:b/>
          <w:bCs/>
        </w:rPr>
        <w:t>efecto</w:t>
      </w:r>
      <w:proofErr w:type="spellEnd"/>
      <w:r>
        <w:rPr>
          <w:b/>
          <w:bCs/>
        </w:rPr>
        <w:t xml:space="preserve"> antidepresivo.</w:t>
      </w:r>
    </w:p>
    <w:p w14:paraId="240A2529" w14:textId="77777777" w:rsidR="00086CB2" w:rsidRDefault="00EA0392" w:rsidP="00EA0392">
      <w:pPr>
        <w:pStyle w:val="FirstParagraph"/>
        <w:jc w:val="both"/>
      </w:pPr>
      <w:r>
        <w:rPr>
          <w:b/>
          <w:bCs/>
        </w:rPr>
        <w:t>Lectura de los grupos:</w:t>
      </w:r>
    </w:p>
    <w:p w14:paraId="240A252A" w14:textId="77777777" w:rsidR="00086CB2" w:rsidRDefault="00EA0392" w:rsidP="00EA0392">
      <w:pPr>
        <w:pStyle w:val="Compact"/>
        <w:numPr>
          <w:ilvl w:val="0"/>
          <w:numId w:val="4"/>
        </w:numPr>
        <w:jc w:val="both"/>
      </w:pPr>
      <w:r w:rsidRPr="00EA0392">
        <w:rPr>
          <w:b/>
          <w:bCs/>
          <w:lang w:val="es-AR"/>
        </w:rPr>
        <w:t>Control:</w:t>
      </w:r>
      <w:r w:rsidRPr="00EA0392">
        <w:rPr>
          <w:lang w:val="es-AR"/>
        </w:rPr>
        <w:t xml:space="preserve"> </w:t>
      </w:r>
      <w:r w:rsidRPr="00EA0392">
        <w:rPr>
          <w:lang w:val="es-AR"/>
        </w:rPr>
        <w:t xml:space="preserve">baja inmovilidad / alto nado (≠ Estrés). </w:t>
      </w:r>
      <w:r>
        <w:t xml:space="preserve">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patrón</w:t>
      </w:r>
      <w:proofErr w:type="spellEnd"/>
      <w:r>
        <w:t xml:space="preserve"> </w:t>
      </w:r>
      <w:proofErr w:type="spellStart"/>
      <w:r>
        <w:t>sano</w:t>
      </w:r>
      <w:proofErr w:type="spellEnd"/>
      <w:r>
        <w:t>.</w:t>
      </w:r>
    </w:p>
    <w:p w14:paraId="240A252B" w14:textId="77777777" w:rsidR="00086CB2" w:rsidRPr="00EA0392" w:rsidRDefault="00EA0392" w:rsidP="00EA0392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Estrés:</w:t>
      </w:r>
      <w:r w:rsidRPr="00EA0392">
        <w:rPr>
          <w:lang w:val="es-AR"/>
        </w:rPr>
        <w:t xml:space="preserve"> alta inmovilidad / bajo nado → el modelo </w:t>
      </w:r>
      <w:r w:rsidRPr="00EA0392">
        <w:rPr>
          <w:b/>
          <w:bCs/>
          <w:lang w:val="es-AR"/>
        </w:rPr>
        <w:t>indujo conducta tipo-depresiva</w:t>
      </w:r>
      <w:r w:rsidRPr="00EA0392">
        <w:rPr>
          <w:lang w:val="es-AR"/>
        </w:rPr>
        <w:t xml:space="preserve"> (valida el modelo).</w:t>
      </w:r>
    </w:p>
    <w:p w14:paraId="240A252C" w14:textId="77777777" w:rsidR="00086CB2" w:rsidRPr="00EA0392" w:rsidRDefault="00EA0392" w:rsidP="00EA0392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FLX-A y AMT-A (únicas):</w:t>
      </w:r>
      <w:r w:rsidRPr="00EA0392">
        <w:rPr>
          <w:lang w:val="es-AR"/>
        </w:rPr>
        <w:t xml:space="preserve"> se parecen al Estrés → </w:t>
      </w:r>
      <w:r w:rsidRPr="00EA0392">
        <w:rPr>
          <w:b/>
          <w:bCs/>
          <w:lang w:val="es-AR"/>
        </w:rPr>
        <w:t>una sola dosis no revierte</w:t>
      </w:r>
      <w:r w:rsidRPr="00EA0392">
        <w:rPr>
          <w:lang w:val="es-AR"/>
        </w:rPr>
        <w:t>.</w:t>
      </w:r>
    </w:p>
    <w:p w14:paraId="240A252D" w14:textId="77777777" w:rsidR="00086CB2" w:rsidRPr="00EA0392" w:rsidRDefault="00EA0392" w:rsidP="00EA0392">
      <w:pPr>
        <w:pStyle w:val="Compact"/>
        <w:numPr>
          <w:ilvl w:val="0"/>
          <w:numId w:val="4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FLX-C y AMT-C (crónic</w:t>
      </w:r>
      <w:r w:rsidRPr="00EA0392">
        <w:rPr>
          <w:b/>
          <w:bCs/>
          <w:lang w:val="es-AR"/>
        </w:rPr>
        <w:t>as):</w:t>
      </w:r>
      <w:r w:rsidRPr="00EA0392">
        <w:rPr>
          <w:lang w:val="es-AR"/>
        </w:rPr>
        <w:t xml:space="preserve"> bajan inmovilidad y suben nado (≠ Estrés, marcado con *) → </w:t>
      </w:r>
      <w:r w:rsidRPr="00EA0392">
        <w:rPr>
          <w:b/>
          <w:bCs/>
          <w:lang w:val="es-AR"/>
        </w:rPr>
        <w:t>revierten la conducta tipo-depresiva</w:t>
      </w:r>
      <w:r w:rsidRPr="00EA0392">
        <w:rPr>
          <w:lang w:val="es-AR"/>
        </w:rPr>
        <w:t>. La AMT-C es la que más baja la inmovilidad.</w:t>
      </w:r>
    </w:p>
    <w:p w14:paraId="240A252E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>Conclusión del bloque.</w:t>
      </w:r>
      <w:r w:rsidRPr="00EA0392">
        <w:rPr>
          <w:lang w:val="es-AR"/>
        </w:rPr>
        <w:t xml:space="preserve"> El estrés crónico genera fenotipo tipo-depresivo, y </w:t>
      </w:r>
      <w:r w:rsidRPr="00EA0392">
        <w:rPr>
          <w:b/>
          <w:bCs/>
          <w:lang w:val="es-AR"/>
        </w:rPr>
        <w:t>solo el tratamiento crónico</w:t>
      </w:r>
      <w:r w:rsidRPr="00EA0392">
        <w:rPr>
          <w:lang w:val="es-AR"/>
        </w:rPr>
        <w:t xml:space="preserve"> (no la </w:t>
      </w:r>
      <w:r w:rsidRPr="00EA0392">
        <w:rPr>
          <w:lang w:val="es-AR"/>
        </w:rPr>
        <w:t xml:space="preserve">dosis única) lo revierte → coherente con el </w:t>
      </w:r>
      <w:r w:rsidRPr="00EA0392">
        <w:rPr>
          <w:b/>
          <w:bCs/>
          <w:lang w:val="es-AR"/>
        </w:rPr>
        <w:t>retraso terapéutico</w:t>
      </w:r>
      <w:r w:rsidRPr="00EA0392">
        <w:rPr>
          <w:lang w:val="es-AR"/>
        </w:rPr>
        <w:t>: hace falta tiempo/adaptación, no solo subir el NT.</w:t>
      </w:r>
    </w:p>
    <w:p w14:paraId="240A252F" w14:textId="77777777" w:rsidR="00086CB2" w:rsidRDefault="00EA0392" w:rsidP="00EA0392">
      <w:pPr>
        <w:jc w:val="both"/>
      </w:pPr>
      <w:r>
        <w:pict w14:anchorId="240A254D">
          <v:rect id="_x0000_i1132" style="width:0;height:1.5pt" o:hralign="center" o:hrstd="t" o:hr="t"/>
        </w:pict>
      </w:r>
    </w:p>
    <w:p w14:paraId="240A2530" w14:textId="77777777" w:rsidR="00086CB2" w:rsidRPr="00EA0392" w:rsidRDefault="00EA0392" w:rsidP="00EA0392">
      <w:pPr>
        <w:pStyle w:val="Ttulo2"/>
        <w:jc w:val="both"/>
        <w:rPr>
          <w:lang w:val="es-AR"/>
        </w:rPr>
      </w:pPr>
      <w:bookmarkStart w:id="3" w:name="X4c29edb003d715b59ec7b609694d225fc568a81"/>
      <w:bookmarkEnd w:id="2"/>
      <w:r w:rsidRPr="00EA0392">
        <w:rPr>
          <w:lang w:val="es-AR"/>
        </w:rPr>
        <w:t>2. NA y 5-HT en corteza prefrontal medial (</w:t>
      </w:r>
      <w:proofErr w:type="spellStart"/>
      <w:r w:rsidRPr="00EA0392">
        <w:rPr>
          <w:lang w:val="es-AR"/>
        </w:rPr>
        <w:t>mPFC</w:t>
      </w:r>
      <w:proofErr w:type="spellEnd"/>
      <w:r w:rsidRPr="00EA0392">
        <w:rPr>
          <w:lang w:val="es-AR"/>
        </w:rPr>
        <w:t>) vs hipocampo — segundo bloque</w:t>
      </w:r>
    </w:p>
    <w:p w14:paraId="240A2531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 xml:space="preserve">Por qué importa la </w:t>
      </w:r>
      <w:proofErr w:type="spellStart"/>
      <w:r w:rsidRPr="00EA0392">
        <w:rPr>
          <w:b/>
          <w:bCs/>
          <w:lang w:val="es-AR"/>
        </w:rPr>
        <w:t>mPFC</w:t>
      </w:r>
      <w:proofErr w:type="spellEnd"/>
      <w:r w:rsidRPr="00EA0392">
        <w:rPr>
          <w:b/>
          <w:bCs/>
          <w:lang w:val="es-AR"/>
        </w:rPr>
        <w:t>.</w:t>
      </w:r>
      <w:r w:rsidRPr="00EA0392">
        <w:rPr>
          <w:lang w:val="es-AR"/>
        </w:rPr>
        <w:t xml:space="preserve"> Es un circuito central del episodi</w:t>
      </w:r>
      <w:r w:rsidRPr="00EA0392">
        <w:rPr>
          <w:lang w:val="es-AR"/>
        </w:rPr>
        <w:t xml:space="preserve">o depresivo (concentración, interés, placer, culpa, fatiga mental). Que los cambios neuroquímicos aparezcan </w:t>
      </w:r>
      <w:r w:rsidRPr="00EA0392">
        <w:rPr>
          <w:b/>
          <w:bCs/>
          <w:lang w:val="es-AR"/>
        </w:rPr>
        <w:t>ahí</w:t>
      </w:r>
      <w:r w:rsidRPr="00EA0392">
        <w:rPr>
          <w:lang w:val="es-AR"/>
        </w:rPr>
        <w:t xml:space="preserve"> y correlacionen con la conducta es lo esperable por la hipótesis monoaminérgica + correspondencia síntoma-circuito.</w:t>
      </w:r>
    </w:p>
    <w:p w14:paraId="240A2532" w14:textId="77777777" w:rsidR="00086CB2" w:rsidRDefault="00EA0392" w:rsidP="00EA0392">
      <w:pPr>
        <w:pStyle w:val="Textoindependiente"/>
        <w:jc w:val="both"/>
      </w:pPr>
      <w:r>
        <w:rPr>
          <w:b/>
          <w:bCs/>
        </w:rPr>
        <w:t xml:space="preserve">Panel A — </w:t>
      </w:r>
      <w:proofErr w:type="spellStart"/>
      <w:r>
        <w:rPr>
          <w:b/>
          <w:bCs/>
        </w:rPr>
        <w:t>Noradrenalina</w:t>
      </w:r>
      <w:proofErr w:type="spellEnd"/>
      <w:r>
        <w:rPr>
          <w:b/>
          <w:bCs/>
        </w:rPr>
        <w:t xml:space="preserve"> (NA):</w:t>
      </w:r>
    </w:p>
    <w:p w14:paraId="240A2533" w14:textId="77777777" w:rsidR="00086CB2" w:rsidRPr="00EA0392" w:rsidRDefault="00EA0392" w:rsidP="00EA0392">
      <w:pPr>
        <w:pStyle w:val="Compact"/>
        <w:numPr>
          <w:ilvl w:val="0"/>
          <w:numId w:val="5"/>
        </w:numPr>
        <w:jc w:val="both"/>
        <w:rPr>
          <w:lang w:val="es-AR"/>
        </w:rPr>
      </w:pPr>
      <w:proofErr w:type="spellStart"/>
      <w:r w:rsidRPr="00EA0392">
        <w:rPr>
          <w:i/>
          <w:iCs/>
          <w:lang w:val="es-AR"/>
        </w:rPr>
        <w:t>mPFC</w:t>
      </w:r>
      <w:proofErr w:type="spellEnd"/>
      <w:r w:rsidRPr="00EA0392">
        <w:rPr>
          <w:i/>
          <w:iCs/>
          <w:lang w:val="es-AR"/>
        </w:rPr>
        <w:t>:</w:t>
      </w:r>
      <w:r w:rsidRPr="00EA0392">
        <w:rPr>
          <w:lang w:val="es-AR"/>
        </w:rPr>
        <w:t xml:space="preserve"> el </w:t>
      </w:r>
      <w:r w:rsidRPr="00EA0392">
        <w:rPr>
          <w:b/>
          <w:bCs/>
          <w:lang w:val="es-AR"/>
        </w:rPr>
        <w:t>Estrés baja la NA</w:t>
      </w:r>
      <w:r w:rsidRPr="00EA0392">
        <w:rPr>
          <w:lang w:val="es-AR"/>
        </w:rPr>
        <w:t xml:space="preserve"> (vs Control). Los tratamientos </w:t>
      </w:r>
      <w:r w:rsidRPr="00EA0392">
        <w:rPr>
          <w:b/>
          <w:bCs/>
          <w:lang w:val="es-AR"/>
        </w:rPr>
        <w:t>crónicos la restauran/elevan</w:t>
      </w:r>
      <w:r w:rsidRPr="00EA0392">
        <w:rPr>
          <w:lang w:val="es-AR"/>
        </w:rPr>
        <w:t xml:space="preserve"> (AMT-C la más alta; coherente con que la amitriptilina sube NA). La fluoxetina, ISRS puro, sube menos la NA porque no actúa sobre el transp</w:t>
      </w:r>
      <w:r w:rsidRPr="00EA0392">
        <w:rPr>
          <w:lang w:val="es-AR"/>
        </w:rPr>
        <w:t>ortador de NA.</w:t>
      </w:r>
    </w:p>
    <w:p w14:paraId="240A2534" w14:textId="77777777" w:rsidR="00086CB2" w:rsidRPr="00EA0392" w:rsidRDefault="00EA0392" w:rsidP="00EA0392">
      <w:pPr>
        <w:pStyle w:val="Compact"/>
        <w:numPr>
          <w:ilvl w:val="0"/>
          <w:numId w:val="5"/>
        </w:numPr>
        <w:jc w:val="both"/>
        <w:rPr>
          <w:lang w:val="es-AR"/>
        </w:rPr>
      </w:pPr>
      <w:r w:rsidRPr="00EA0392">
        <w:rPr>
          <w:i/>
          <w:iCs/>
          <w:lang w:val="es-AR"/>
        </w:rPr>
        <w:t>Hipocampo:</w:t>
      </w:r>
      <w:r w:rsidRPr="00EA0392">
        <w:rPr>
          <w:lang w:val="es-AR"/>
        </w:rPr>
        <w:t xml:space="preserve"> </w:t>
      </w:r>
      <w:r w:rsidRPr="00EA0392">
        <w:rPr>
          <w:b/>
          <w:bCs/>
          <w:lang w:val="es-AR"/>
        </w:rPr>
        <w:t>sin diferencias significativas</w:t>
      </w:r>
      <w:r w:rsidRPr="00EA0392">
        <w:rPr>
          <w:lang w:val="es-AR"/>
        </w:rPr>
        <w:t xml:space="preserve"> entre grupos.</w:t>
      </w:r>
    </w:p>
    <w:p w14:paraId="240A2535" w14:textId="77777777" w:rsidR="00086CB2" w:rsidRDefault="00EA0392" w:rsidP="00EA0392">
      <w:pPr>
        <w:pStyle w:val="FirstParagraph"/>
        <w:jc w:val="both"/>
      </w:pPr>
      <w:r>
        <w:rPr>
          <w:b/>
          <w:bCs/>
        </w:rPr>
        <w:t xml:space="preserve">Panel B — </w:t>
      </w:r>
      <w:proofErr w:type="spellStart"/>
      <w:r>
        <w:rPr>
          <w:b/>
          <w:bCs/>
        </w:rPr>
        <w:t>Serotonina</w:t>
      </w:r>
      <w:proofErr w:type="spellEnd"/>
      <w:r>
        <w:rPr>
          <w:b/>
          <w:bCs/>
        </w:rPr>
        <w:t xml:space="preserve"> (5-HT):</w:t>
      </w:r>
    </w:p>
    <w:p w14:paraId="240A2536" w14:textId="77777777" w:rsidR="00086CB2" w:rsidRPr="00EA0392" w:rsidRDefault="00EA0392" w:rsidP="00EA0392">
      <w:pPr>
        <w:pStyle w:val="Compact"/>
        <w:numPr>
          <w:ilvl w:val="0"/>
          <w:numId w:val="6"/>
        </w:numPr>
        <w:jc w:val="both"/>
        <w:rPr>
          <w:lang w:val="es-AR"/>
        </w:rPr>
      </w:pPr>
      <w:proofErr w:type="spellStart"/>
      <w:r w:rsidRPr="00EA0392">
        <w:rPr>
          <w:i/>
          <w:iCs/>
          <w:lang w:val="es-AR"/>
        </w:rPr>
        <w:t>mPFC</w:t>
      </w:r>
      <w:proofErr w:type="spellEnd"/>
      <w:r w:rsidRPr="00EA0392">
        <w:rPr>
          <w:i/>
          <w:iCs/>
          <w:lang w:val="es-AR"/>
        </w:rPr>
        <w:t>:</w:t>
      </w:r>
      <w:r w:rsidRPr="00EA0392">
        <w:rPr>
          <w:lang w:val="es-AR"/>
        </w:rPr>
        <w:t xml:space="preserve"> el </w:t>
      </w:r>
      <w:r w:rsidRPr="00EA0392">
        <w:rPr>
          <w:b/>
          <w:bCs/>
          <w:lang w:val="es-AR"/>
        </w:rPr>
        <w:t>Estrés baja la 5-HT</w:t>
      </w:r>
      <w:r w:rsidRPr="00EA0392">
        <w:rPr>
          <w:lang w:val="es-AR"/>
        </w:rPr>
        <w:t xml:space="preserve">. Suben con tratamiento </w:t>
      </w:r>
      <w:r w:rsidRPr="00EA0392">
        <w:rPr>
          <w:b/>
          <w:bCs/>
          <w:lang w:val="es-AR"/>
        </w:rPr>
        <w:t>crónico</w:t>
      </w:r>
      <w:r w:rsidRPr="00EA0392">
        <w:rPr>
          <w:lang w:val="es-AR"/>
        </w:rPr>
        <w:t xml:space="preserve"> (FLX-C, AMT-C), con el símbolo </w:t>
      </w:r>
      <w:r w:rsidRPr="00EA0392">
        <w:rPr>
          <w:b/>
          <w:bCs/>
          <w:lang w:val="es-AR"/>
        </w:rPr>
        <w:t>#</w:t>
      </w:r>
      <w:r w:rsidRPr="00EA0392">
        <w:rPr>
          <w:lang w:val="es-AR"/>
        </w:rPr>
        <w:t xml:space="preserve"> marcando que </w:t>
      </w:r>
      <w:r w:rsidRPr="00EA0392">
        <w:rPr>
          <w:b/>
          <w:bCs/>
          <w:lang w:val="es-AR"/>
        </w:rPr>
        <w:t>crónico &gt; único</w:t>
      </w:r>
      <w:r w:rsidRPr="00EA0392">
        <w:rPr>
          <w:lang w:val="es-AR"/>
        </w:rPr>
        <w:t xml:space="preserve"> (FLX-A vs FLX-C; AMT-A vs AMT-C) →</w:t>
      </w:r>
      <w:r w:rsidRPr="00EA0392">
        <w:rPr>
          <w:lang w:val="es-AR"/>
        </w:rPr>
        <w:t xml:space="preserve"> otra vez el patrón A vs C.</w:t>
      </w:r>
    </w:p>
    <w:p w14:paraId="240A2537" w14:textId="77777777" w:rsidR="00086CB2" w:rsidRPr="00EA0392" w:rsidRDefault="00EA0392" w:rsidP="00EA0392">
      <w:pPr>
        <w:pStyle w:val="Compact"/>
        <w:numPr>
          <w:ilvl w:val="0"/>
          <w:numId w:val="6"/>
        </w:numPr>
        <w:jc w:val="both"/>
        <w:rPr>
          <w:lang w:val="es-AR"/>
        </w:rPr>
      </w:pPr>
      <w:r w:rsidRPr="00EA0392">
        <w:rPr>
          <w:i/>
          <w:iCs/>
          <w:lang w:val="es-AR"/>
        </w:rPr>
        <w:t>Hipocampo:</w:t>
      </w:r>
      <w:r w:rsidRPr="00EA0392">
        <w:rPr>
          <w:lang w:val="es-AR"/>
        </w:rPr>
        <w:t xml:space="preserve"> </w:t>
      </w:r>
      <w:r w:rsidRPr="00EA0392">
        <w:rPr>
          <w:b/>
          <w:bCs/>
          <w:lang w:val="es-AR"/>
        </w:rPr>
        <w:t>sin diferencias significativas</w:t>
      </w:r>
      <w:r w:rsidRPr="00EA0392">
        <w:rPr>
          <w:lang w:val="es-AR"/>
        </w:rPr>
        <w:t xml:space="preserve"> (valores chicos y parejos).</w:t>
      </w:r>
    </w:p>
    <w:p w14:paraId="240A2538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>Conclusión del bloque.</w:t>
      </w:r>
      <w:r w:rsidRPr="00EA0392">
        <w:rPr>
          <w:lang w:val="es-AR"/>
        </w:rPr>
        <w:t xml:space="preserve"> El estrés crónico </w:t>
      </w:r>
      <w:r w:rsidRPr="00EA0392">
        <w:rPr>
          <w:b/>
          <w:bCs/>
          <w:lang w:val="es-AR"/>
        </w:rPr>
        <w:t xml:space="preserve">deprime las monoaminas en </w:t>
      </w:r>
      <w:proofErr w:type="spellStart"/>
      <w:r w:rsidRPr="00EA0392">
        <w:rPr>
          <w:b/>
          <w:bCs/>
          <w:lang w:val="es-AR"/>
        </w:rPr>
        <w:t>mPFC</w:t>
      </w:r>
      <w:proofErr w:type="spellEnd"/>
      <w:r w:rsidRPr="00EA0392">
        <w:rPr>
          <w:lang w:val="es-AR"/>
        </w:rPr>
        <w:t xml:space="preserve">, y el tratamiento </w:t>
      </w:r>
      <w:r w:rsidRPr="00EA0392">
        <w:rPr>
          <w:b/>
          <w:bCs/>
          <w:lang w:val="es-AR"/>
        </w:rPr>
        <w:t>crónico</w:t>
      </w:r>
      <w:r w:rsidRPr="00EA0392">
        <w:rPr>
          <w:lang w:val="es-AR"/>
        </w:rPr>
        <w:t xml:space="preserve"> las recupera (la amitriptilina sobre NA+5-HT, la fluoxetina </w:t>
      </w:r>
      <w:r w:rsidRPr="00EA0392">
        <w:rPr>
          <w:lang w:val="es-AR"/>
        </w:rPr>
        <w:t xml:space="preserve">sobre todo 5-HT). En </w:t>
      </w:r>
      <w:r w:rsidRPr="00EA0392">
        <w:rPr>
          <w:b/>
          <w:bCs/>
          <w:lang w:val="es-AR"/>
        </w:rPr>
        <w:t>hipocampo no se ven cambios de monoaminas</w:t>
      </w:r>
      <w:r w:rsidRPr="00EA0392">
        <w:rPr>
          <w:lang w:val="es-AR"/>
        </w:rPr>
        <w:t xml:space="preserve"> → pero eso lleva al tercer bloque.</w:t>
      </w:r>
    </w:p>
    <w:p w14:paraId="10030984" w14:textId="77777777" w:rsidR="00EA0392" w:rsidRDefault="00EA0392" w:rsidP="00EA0392">
      <w:pPr>
        <w:jc w:val="both"/>
      </w:pPr>
    </w:p>
    <w:p w14:paraId="51919258" w14:textId="77777777" w:rsidR="00EA0392" w:rsidRDefault="00EA0392" w:rsidP="00EA0392">
      <w:pPr>
        <w:jc w:val="both"/>
      </w:pPr>
    </w:p>
    <w:p w14:paraId="44E70888" w14:textId="77777777" w:rsidR="00EA0392" w:rsidRDefault="00EA0392" w:rsidP="00EA0392">
      <w:pPr>
        <w:jc w:val="both"/>
      </w:pPr>
    </w:p>
    <w:p w14:paraId="08BC081A" w14:textId="77777777" w:rsidR="00EA0392" w:rsidRDefault="00EA0392" w:rsidP="00EA0392">
      <w:pPr>
        <w:jc w:val="both"/>
      </w:pPr>
    </w:p>
    <w:p w14:paraId="0F204F14" w14:textId="77777777" w:rsidR="00EA0392" w:rsidRDefault="00EA0392" w:rsidP="00EA0392">
      <w:pPr>
        <w:jc w:val="both"/>
      </w:pPr>
    </w:p>
    <w:p w14:paraId="240A2539" w14:textId="308F93A8" w:rsidR="00086CB2" w:rsidRDefault="00EA0392" w:rsidP="00EA0392">
      <w:pPr>
        <w:jc w:val="both"/>
      </w:pPr>
      <w:r>
        <w:pict w14:anchorId="240A254E">
          <v:rect id="_x0000_i1133" style="width:0;height:1.5pt" o:hralign="center" o:hrstd="t" o:hr="t"/>
        </w:pict>
      </w:r>
    </w:p>
    <w:p w14:paraId="240A253A" w14:textId="77777777" w:rsidR="00086CB2" w:rsidRPr="00EA0392" w:rsidRDefault="00EA0392" w:rsidP="00EA0392">
      <w:pPr>
        <w:pStyle w:val="Ttulo2"/>
        <w:jc w:val="both"/>
        <w:rPr>
          <w:lang w:val="es-AR"/>
        </w:rPr>
      </w:pPr>
      <w:bookmarkStart w:id="4" w:name="Xd6e08b4ffed174bbb88bdeaece3097c56fff806"/>
      <w:bookmarkEnd w:id="3"/>
      <w:r w:rsidRPr="00EA0392">
        <w:rPr>
          <w:lang w:val="es-AR"/>
        </w:rPr>
        <w:t>3. El hipocampo: ausencia de diferencia ≠ ausencia de daño — tercer bloque</w:t>
      </w:r>
    </w:p>
    <w:p w14:paraId="240A253B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lang w:val="es-AR"/>
        </w:rPr>
        <w:t xml:space="preserve">Acá el Word aporta el modelo que justifica la respuesta: </w:t>
      </w:r>
      <w:r w:rsidRPr="00EA0392">
        <w:rPr>
          <w:b/>
          <w:bCs/>
          <w:lang w:val="es-AR"/>
        </w:rPr>
        <w:t>no alcanza con medir mon</w:t>
      </w:r>
      <w:r w:rsidRPr="00EA0392">
        <w:rPr>
          <w:b/>
          <w:bCs/>
          <w:lang w:val="es-AR"/>
        </w:rPr>
        <w:t>oaminas.</w:t>
      </w:r>
    </w:p>
    <w:p w14:paraId="240A253C" w14:textId="77777777" w:rsidR="00086CB2" w:rsidRPr="00EA0392" w:rsidRDefault="00EA0392" w:rsidP="00EA0392">
      <w:pPr>
        <w:pStyle w:val="Textoindependiente"/>
        <w:jc w:val="both"/>
        <w:rPr>
          <w:lang w:val="es-AR"/>
        </w:rPr>
      </w:pPr>
      <w:r w:rsidRPr="00EA0392">
        <w:rPr>
          <w:b/>
          <w:bCs/>
          <w:lang w:val="es-AR"/>
        </w:rPr>
        <w:t>¿"Sin diferencia en hipocampo" significa que el estrés no deja secuelas?</w:t>
      </w:r>
      <w:r w:rsidRPr="00EA0392">
        <w:rPr>
          <w:lang w:val="es-AR"/>
        </w:rPr>
        <w:t xml:space="preserve"> No. Medir </w:t>
      </w:r>
      <w:r w:rsidRPr="00EA0392">
        <w:rPr>
          <w:b/>
          <w:bCs/>
          <w:lang w:val="es-AR"/>
        </w:rPr>
        <w:t>concentración de NA/5-HT</w:t>
      </w:r>
      <w:r w:rsidRPr="00EA0392">
        <w:rPr>
          <w:lang w:val="es-AR"/>
        </w:rPr>
        <w:t xml:space="preserve"> capta solo la dimensión monoaminérgica clásica. El daño del estrés crónico en el hipocampo es sobre todo </w:t>
      </w:r>
      <w:r w:rsidRPr="00EA0392">
        <w:rPr>
          <w:b/>
          <w:bCs/>
          <w:lang w:val="es-AR"/>
        </w:rPr>
        <w:t>estructural y de plasticidad</w:t>
      </w:r>
      <w:r w:rsidRPr="00EA0392">
        <w:rPr>
          <w:lang w:val="es-AR"/>
        </w:rPr>
        <w:t>, no necesariamente en los niveles de monoamina.</w:t>
      </w:r>
    </w:p>
    <w:p w14:paraId="240A253D" w14:textId="77777777" w:rsidR="00086CB2" w:rsidRPr="00EA0392" w:rsidRDefault="00EA0392" w:rsidP="00EA0392">
      <w:pPr>
        <w:pStyle w:val="Textoindependiente"/>
        <w:jc w:val="both"/>
        <w:rPr>
          <w:lang w:val="es-AR"/>
        </w:rPr>
      </w:pPr>
      <w:r w:rsidRPr="00EA0392">
        <w:rPr>
          <w:b/>
          <w:bCs/>
          <w:lang w:val="es-AR"/>
        </w:rPr>
        <w:t xml:space="preserve">Modelo de </w:t>
      </w:r>
      <w:proofErr w:type="spellStart"/>
      <w:r w:rsidRPr="00EA0392">
        <w:rPr>
          <w:b/>
          <w:bCs/>
          <w:lang w:val="es-AR"/>
        </w:rPr>
        <w:t>neuroprogresión</w:t>
      </w:r>
      <w:proofErr w:type="spellEnd"/>
      <w:r w:rsidRPr="00EA0392">
        <w:rPr>
          <w:b/>
          <w:bCs/>
          <w:lang w:val="es-AR"/>
        </w:rPr>
        <w:t xml:space="preserve"> (por qué el daño va por otro lado):</w:t>
      </w:r>
      <w:r w:rsidRPr="00EA0392">
        <w:rPr>
          <w:lang w:val="es-AR"/>
        </w:rPr>
        <w:t xml:space="preserve"> estrés crónico → </w:t>
      </w:r>
      <w:r w:rsidRPr="00EA0392">
        <w:rPr>
          <w:b/>
          <w:bCs/>
          <w:lang w:val="es-AR"/>
        </w:rPr>
        <w:t>inflamación → estrés oxidativo → desregulación del eje HPA (↑cortisol) → caída del BDNF (desregulación neurotrófica) → cambios e</w:t>
      </w:r>
      <w:r w:rsidRPr="00EA0392">
        <w:rPr>
          <w:b/>
          <w:bCs/>
          <w:lang w:val="es-AR"/>
        </w:rPr>
        <w:t>pigenéticos →</w:t>
      </w:r>
      <w:r w:rsidRPr="00EA0392">
        <w:rPr>
          <w:lang w:val="es-AR"/>
        </w:rPr>
        <w:t xml:space="preserve"> más inflamación. Resultado: </w:t>
      </w:r>
      <w:r w:rsidRPr="00EA0392">
        <w:rPr>
          <w:b/>
          <w:bCs/>
          <w:lang w:val="es-AR"/>
        </w:rPr>
        <w:t>daño sináptico y neuronal</w:t>
      </w:r>
      <w:r w:rsidRPr="00EA0392">
        <w:rPr>
          <w:lang w:val="es-AR"/>
        </w:rPr>
        <w:t xml:space="preserve"> → anomalías </w:t>
      </w:r>
      <w:r w:rsidRPr="00EA0392">
        <w:rPr>
          <w:b/>
          <w:bCs/>
          <w:lang w:val="es-AR"/>
        </w:rPr>
        <w:t>funcionales</w:t>
      </w:r>
      <w:r w:rsidRPr="00EA0392">
        <w:rPr>
          <w:lang w:val="es-AR"/>
        </w:rPr>
        <w:t xml:space="preserve"> (recaídas, resistencia) y </w:t>
      </w:r>
      <w:r w:rsidRPr="00EA0392">
        <w:rPr>
          <w:b/>
          <w:bCs/>
          <w:lang w:val="es-AR"/>
        </w:rPr>
        <w:t>estructurales</w:t>
      </w:r>
      <w:r w:rsidRPr="00EA0392">
        <w:rPr>
          <w:lang w:val="es-AR"/>
        </w:rPr>
        <w:t xml:space="preserve"> (atrofia, declive cognitivo). El hipocampo es especialmente vulnerable al cortisol.</w:t>
      </w:r>
    </w:p>
    <w:p w14:paraId="240A253E" w14:textId="77777777" w:rsidR="00086CB2" w:rsidRDefault="00EA0392" w:rsidP="00EA0392">
      <w:pPr>
        <w:pStyle w:val="Textoindependiente"/>
        <w:jc w:val="both"/>
      </w:pPr>
      <w:r w:rsidRPr="00EA0392">
        <w:rPr>
          <w:b/>
          <w:bCs/>
          <w:lang w:val="es-AR"/>
        </w:rPr>
        <w:t>¿Qué medirías para ver el impacto real d</w:t>
      </w:r>
      <w:r w:rsidRPr="00EA0392">
        <w:rPr>
          <w:b/>
          <w:bCs/>
          <w:lang w:val="es-AR"/>
        </w:rPr>
        <w:t>el estrés en el hipocampo?</w:t>
      </w:r>
      <w:r w:rsidRPr="00EA0392">
        <w:rPr>
          <w:lang w:val="es-AR"/>
        </w:rPr>
        <w:t xml:space="preserve"> </w:t>
      </w:r>
      <w:r>
        <w:t>(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plasticidad</w:t>
      </w:r>
      <w:proofErr w:type="spellEnd"/>
      <w:r>
        <w:t>/</w:t>
      </w:r>
      <w:proofErr w:type="spellStart"/>
      <w:r>
        <w:t>estructura</w:t>
      </w:r>
      <w:proofErr w:type="spellEnd"/>
      <w:r>
        <w:t>, no monoaminas)</w:t>
      </w:r>
    </w:p>
    <w:p w14:paraId="240A253F" w14:textId="77777777" w:rsidR="00086CB2" w:rsidRPr="00EA0392" w:rsidRDefault="00EA0392" w:rsidP="00EA0392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BDNF</w:t>
      </w:r>
      <w:r w:rsidRPr="00EA0392">
        <w:rPr>
          <w:lang w:val="es-AR"/>
        </w:rPr>
        <w:t xml:space="preserve"> (sérico y tisular) → el marcador neurotrófico central.</w:t>
      </w:r>
    </w:p>
    <w:p w14:paraId="240A2540" w14:textId="77777777" w:rsidR="00086CB2" w:rsidRPr="00EA0392" w:rsidRDefault="00EA0392" w:rsidP="00EA0392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Neurogénesis</w:t>
      </w:r>
      <w:r w:rsidRPr="00EA0392">
        <w:rPr>
          <w:lang w:val="es-AR"/>
        </w:rPr>
        <w:t xml:space="preserve"> en el giro dentado (ej. marcadores de proliferación/maduración neuronal).</w:t>
      </w:r>
    </w:p>
    <w:p w14:paraId="240A2541" w14:textId="77777777" w:rsidR="00086CB2" w:rsidRPr="00EA0392" w:rsidRDefault="00EA0392" w:rsidP="00EA0392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Densidad de espinas dendrít</w:t>
      </w:r>
      <w:r w:rsidRPr="00EA0392">
        <w:rPr>
          <w:b/>
          <w:bCs/>
          <w:lang w:val="es-AR"/>
        </w:rPr>
        <w:t>icas / arborización</w:t>
      </w:r>
      <w:r w:rsidRPr="00EA0392">
        <w:rPr>
          <w:lang w:val="es-AR"/>
        </w:rPr>
        <w:t xml:space="preserve"> y marcadores sinápticos.</w:t>
      </w:r>
    </w:p>
    <w:p w14:paraId="240A2542" w14:textId="77777777" w:rsidR="00086CB2" w:rsidRPr="00EA0392" w:rsidRDefault="00EA0392" w:rsidP="00EA0392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Volumen hipocampal</w:t>
      </w:r>
      <w:r w:rsidRPr="00EA0392">
        <w:rPr>
          <w:lang w:val="es-AR"/>
        </w:rPr>
        <w:t xml:space="preserve"> (morfometría) y signos de atrofia.</w:t>
      </w:r>
    </w:p>
    <w:p w14:paraId="240A2543" w14:textId="77777777" w:rsidR="00086CB2" w:rsidRPr="00EA0392" w:rsidRDefault="00EA0392" w:rsidP="00EA0392">
      <w:pPr>
        <w:pStyle w:val="Compact"/>
        <w:numPr>
          <w:ilvl w:val="0"/>
          <w:numId w:val="7"/>
        </w:numPr>
        <w:jc w:val="both"/>
        <w:rPr>
          <w:lang w:val="es-AR"/>
        </w:rPr>
      </w:pPr>
      <w:r w:rsidRPr="00EA0392">
        <w:rPr>
          <w:lang w:val="es-AR"/>
        </w:rPr>
        <w:t xml:space="preserve">Marcadores del </w:t>
      </w:r>
      <w:r w:rsidRPr="00EA0392">
        <w:rPr>
          <w:b/>
          <w:bCs/>
          <w:lang w:val="es-AR"/>
        </w:rPr>
        <w:t>eje HPA</w:t>
      </w:r>
      <w:r w:rsidRPr="00EA0392">
        <w:rPr>
          <w:lang w:val="es-AR"/>
        </w:rPr>
        <w:t xml:space="preserve"> (cortisol, receptores de glucocorticoides) e </w:t>
      </w:r>
      <w:r w:rsidRPr="00EA0392">
        <w:rPr>
          <w:b/>
          <w:bCs/>
          <w:lang w:val="es-AR"/>
        </w:rPr>
        <w:t>inflamatorios</w:t>
      </w:r>
      <w:r w:rsidRPr="00EA0392">
        <w:rPr>
          <w:lang w:val="es-AR"/>
        </w:rPr>
        <w:t xml:space="preserve"> (IL-6, citoquinas).</w:t>
      </w:r>
    </w:p>
    <w:p w14:paraId="240A2544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b/>
          <w:bCs/>
          <w:lang w:val="es-AR"/>
        </w:rPr>
        <w:t>¿Efecto de un SSRI prolongado en el hipocampo tras el e</w:t>
      </w:r>
      <w:r w:rsidRPr="00EA0392">
        <w:rPr>
          <w:b/>
          <w:bCs/>
          <w:lang w:val="es-AR"/>
        </w:rPr>
        <w:t>strés crónico?</w:t>
      </w:r>
      <w:r w:rsidRPr="00EA0392">
        <w:rPr>
          <w:lang w:val="es-AR"/>
        </w:rPr>
        <w:t xml:space="preserve"> El tratamiento crónico con ISRS actúa por la </w:t>
      </w:r>
      <w:r w:rsidRPr="00EA0392">
        <w:rPr>
          <w:b/>
          <w:bCs/>
          <w:lang w:val="es-AR"/>
        </w:rPr>
        <w:t>vía neurotrófica/plástica</w:t>
      </w:r>
      <w:r w:rsidRPr="00EA0392">
        <w:rPr>
          <w:lang w:val="es-AR"/>
        </w:rPr>
        <w:t xml:space="preserve"> (el mecanismo "lento" del retraso terapéutico):</w:t>
      </w:r>
    </w:p>
    <w:p w14:paraId="240A2545" w14:textId="77777777" w:rsidR="00086CB2" w:rsidRPr="00EA0392" w:rsidRDefault="00EA0392" w:rsidP="00EA0392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↑ BDNF</w:t>
      </w:r>
      <w:r w:rsidRPr="00EA0392">
        <w:rPr>
          <w:lang w:val="es-AR"/>
        </w:rPr>
        <w:t xml:space="preserve"> → </w:t>
      </w:r>
      <w:r w:rsidRPr="00EA0392">
        <w:rPr>
          <w:b/>
          <w:bCs/>
          <w:lang w:val="es-AR"/>
        </w:rPr>
        <w:t>restaura la neurogénesis</w:t>
      </w:r>
      <w:r w:rsidRPr="00EA0392">
        <w:rPr>
          <w:lang w:val="es-AR"/>
        </w:rPr>
        <w:t xml:space="preserve"> del giro dentado.</w:t>
      </w:r>
    </w:p>
    <w:p w14:paraId="240A2546" w14:textId="77777777" w:rsidR="00086CB2" w:rsidRPr="00EA0392" w:rsidRDefault="00EA0392" w:rsidP="00EA0392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EA0392">
        <w:rPr>
          <w:b/>
          <w:bCs/>
          <w:lang w:val="es-AR"/>
        </w:rPr>
        <w:t>Revierte la atrofia</w:t>
      </w:r>
      <w:r w:rsidRPr="00EA0392">
        <w:rPr>
          <w:lang w:val="es-AR"/>
        </w:rPr>
        <w:t xml:space="preserve"> y recupera densidad sináptica/espinas.</w:t>
      </w:r>
    </w:p>
    <w:p w14:paraId="240A2547" w14:textId="77777777" w:rsidR="00086CB2" w:rsidRPr="00EA0392" w:rsidRDefault="00EA0392" w:rsidP="00EA0392">
      <w:pPr>
        <w:pStyle w:val="Compact"/>
        <w:numPr>
          <w:ilvl w:val="0"/>
          <w:numId w:val="8"/>
        </w:numPr>
        <w:jc w:val="both"/>
        <w:rPr>
          <w:lang w:val="es-AR"/>
        </w:rPr>
      </w:pPr>
      <w:r w:rsidRPr="00EA0392">
        <w:rPr>
          <w:lang w:val="es-AR"/>
        </w:rPr>
        <w:t>Normaliza e</w:t>
      </w:r>
      <w:r w:rsidRPr="00EA0392">
        <w:rPr>
          <w:lang w:val="es-AR"/>
        </w:rPr>
        <w:t xml:space="preserve">l eje HPA. → El beneficio en el hipocampo se ve en </w:t>
      </w:r>
      <w:r w:rsidRPr="00EA0392">
        <w:rPr>
          <w:b/>
          <w:bCs/>
          <w:lang w:val="es-AR"/>
        </w:rPr>
        <w:t>plasticidad y estructura</w:t>
      </w:r>
      <w:r w:rsidRPr="00EA0392">
        <w:rPr>
          <w:lang w:val="es-AR"/>
        </w:rPr>
        <w:t>, que es justo lo que la medición de monoaminas no detectaba.</w:t>
      </w:r>
    </w:p>
    <w:p w14:paraId="240A2548" w14:textId="77777777" w:rsidR="00086CB2" w:rsidRDefault="00EA0392" w:rsidP="00EA0392">
      <w:pPr>
        <w:jc w:val="both"/>
      </w:pPr>
      <w:r>
        <w:pict w14:anchorId="240A254F">
          <v:rect id="_x0000_i1134" style="width:0;height:1.5pt" o:hralign="center" o:hrstd="t" o:hr="t"/>
        </w:pict>
      </w:r>
    </w:p>
    <w:p w14:paraId="240A2549" w14:textId="77777777" w:rsidR="00086CB2" w:rsidRPr="00EA0392" w:rsidRDefault="00EA0392" w:rsidP="00EA0392">
      <w:pPr>
        <w:pStyle w:val="Ttulo2"/>
        <w:jc w:val="both"/>
        <w:rPr>
          <w:lang w:val="es-AR"/>
        </w:rPr>
      </w:pPr>
      <w:bookmarkStart w:id="5" w:name="cierre-lógico-del-problema-frase-resumen"/>
      <w:bookmarkEnd w:id="4"/>
      <w:r w:rsidRPr="00EA0392">
        <w:rPr>
          <w:lang w:val="es-AR"/>
        </w:rPr>
        <w:t>Cierre lógico del problema (frase-resumen)</w:t>
      </w:r>
    </w:p>
    <w:p w14:paraId="240A254A" w14:textId="77777777" w:rsidR="00086CB2" w:rsidRPr="00EA0392" w:rsidRDefault="00EA0392" w:rsidP="00EA0392">
      <w:pPr>
        <w:pStyle w:val="FirstParagraph"/>
        <w:jc w:val="both"/>
        <w:rPr>
          <w:lang w:val="es-AR"/>
        </w:rPr>
      </w:pPr>
      <w:r w:rsidRPr="00EA0392">
        <w:rPr>
          <w:lang w:val="es-AR"/>
        </w:rPr>
        <w:t xml:space="preserve">El estrés crónico induce </w:t>
      </w:r>
      <w:r w:rsidRPr="00EA0392">
        <w:rPr>
          <w:b/>
          <w:bCs/>
          <w:lang w:val="es-AR"/>
        </w:rPr>
        <w:t xml:space="preserve">fenotipo tipo-depresivo + caída de monoaminas en </w:t>
      </w:r>
      <w:proofErr w:type="spellStart"/>
      <w:r w:rsidRPr="00EA0392">
        <w:rPr>
          <w:b/>
          <w:bCs/>
          <w:lang w:val="es-AR"/>
        </w:rPr>
        <w:t>mPFC</w:t>
      </w:r>
      <w:proofErr w:type="spellEnd"/>
      <w:r w:rsidRPr="00EA0392">
        <w:rPr>
          <w:lang w:val="es-AR"/>
        </w:rPr>
        <w:t xml:space="preserve">, revertidos </w:t>
      </w:r>
      <w:r w:rsidRPr="00EA0392">
        <w:rPr>
          <w:b/>
          <w:bCs/>
          <w:lang w:val="es-AR"/>
        </w:rPr>
        <w:t>solo por tratamiento crónico</w:t>
      </w:r>
      <w:r w:rsidRPr="00EA0392">
        <w:rPr>
          <w:lang w:val="es-AR"/>
        </w:rPr>
        <w:t xml:space="preserve"> (retraso terapéutico). En el </w:t>
      </w:r>
      <w:r w:rsidRPr="00EA0392">
        <w:rPr>
          <w:b/>
          <w:bCs/>
          <w:lang w:val="es-AR"/>
        </w:rPr>
        <w:t>hipocampo</w:t>
      </w:r>
      <w:r w:rsidRPr="00EA0392">
        <w:rPr>
          <w:lang w:val="es-AR"/>
        </w:rPr>
        <w:t xml:space="preserve"> la lectura monoaminérgica es "normal", pero el daño real es </w:t>
      </w:r>
      <w:r w:rsidRPr="00EA0392">
        <w:rPr>
          <w:b/>
          <w:bCs/>
          <w:lang w:val="es-AR"/>
        </w:rPr>
        <w:t>neurotrófico/estructural</w:t>
      </w:r>
      <w:r w:rsidRPr="00EA0392">
        <w:rPr>
          <w:lang w:val="es-AR"/>
        </w:rPr>
        <w:t xml:space="preserve"> (↓BDNF, ↓neurogénesis, atrofia vía HPA), y ahí el </w:t>
      </w:r>
      <w:r w:rsidRPr="00EA0392">
        <w:rPr>
          <w:b/>
          <w:bCs/>
          <w:lang w:val="es-AR"/>
        </w:rPr>
        <w:t>SSRI crónico</w:t>
      </w:r>
      <w:r w:rsidRPr="00EA0392">
        <w:rPr>
          <w:lang w:val="es-AR"/>
        </w:rPr>
        <w:t xml:space="preserve"> actúa restaurando </w:t>
      </w:r>
      <w:r w:rsidRPr="00EA0392">
        <w:rPr>
          <w:b/>
          <w:bCs/>
          <w:lang w:val="es-AR"/>
        </w:rPr>
        <w:t>plast</w:t>
      </w:r>
      <w:r w:rsidRPr="00EA0392">
        <w:rPr>
          <w:b/>
          <w:bCs/>
          <w:lang w:val="es-AR"/>
        </w:rPr>
        <w:t>icidad</w:t>
      </w:r>
      <w:r w:rsidRPr="00EA0392">
        <w:rPr>
          <w:lang w:val="es-AR"/>
        </w:rPr>
        <w:t>, no solo niveles de NT.</w:t>
      </w:r>
      <w:bookmarkEnd w:id="0"/>
      <w:bookmarkEnd w:id="5"/>
    </w:p>
    <w:sectPr w:rsidR="00086CB2" w:rsidRPr="00EA0392" w:rsidSect="00EA0392">
      <w:pgSz w:w="11906" w:h="16838" w:code="9"/>
      <w:pgMar w:top="851" w:right="991" w:bottom="709" w:left="993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A2554" w14:textId="77777777" w:rsidR="00000000" w:rsidRDefault="00EA0392">
      <w:pPr>
        <w:spacing w:after="0"/>
      </w:pPr>
      <w:r>
        <w:separator/>
      </w:r>
    </w:p>
  </w:endnote>
  <w:endnote w:type="continuationSeparator" w:id="0">
    <w:p w14:paraId="240A2556" w14:textId="77777777" w:rsidR="00000000" w:rsidRDefault="00EA039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0A2550" w14:textId="77777777" w:rsidR="00086CB2" w:rsidRDefault="00EA0392">
      <w:r>
        <w:separator/>
      </w:r>
    </w:p>
  </w:footnote>
  <w:footnote w:type="continuationSeparator" w:id="0">
    <w:p w14:paraId="240A2551" w14:textId="77777777" w:rsidR="00086CB2" w:rsidRDefault="00EA0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76D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7199158">
    <w:abstractNumId w:val="0"/>
  </w:num>
  <w:num w:numId="2" w16cid:durableId="1431730631">
    <w:abstractNumId w:val="1"/>
  </w:num>
  <w:num w:numId="3" w16cid:durableId="1397050474">
    <w:abstractNumId w:val="1"/>
  </w:num>
  <w:num w:numId="4" w16cid:durableId="1010791140">
    <w:abstractNumId w:val="1"/>
  </w:num>
  <w:num w:numId="5" w16cid:durableId="520319760">
    <w:abstractNumId w:val="1"/>
  </w:num>
  <w:num w:numId="6" w16cid:durableId="575826011">
    <w:abstractNumId w:val="1"/>
  </w:num>
  <w:num w:numId="7" w16cid:durableId="1770587067">
    <w:abstractNumId w:val="1"/>
  </w:num>
  <w:num w:numId="8" w16cid:durableId="1744451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CB2"/>
    <w:rsid w:val="00086CB2"/>
    <w:rsid w:val="00E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240A2509"/>
  <w15:docId w15:val="{9A142617-82A6-40E8-B68A-5859BDB06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950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2026-06-07T00:25:00Z</dcterms:created>
  <dcterms:modified xsi:type="dcterms:W3CDTF">2026-06-07T00:32:00Z</dcterms:modified>
</cp:coreProperties>
</file>