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0D8C5" w14:textId="77777777" w:rsidR="00375EC4" w:rsidRDefault="009A6FCC">
      <w:pPr>
        <w:spacing w:before="1700"/>
        <w:jc w:val="center"/>
      </w:pPr>
      <w:r>
        <w:rPr>
          <w:b/>
          <w:bCs/>
          <w:caps/>
          <w:color w:val="2E75B6"/>
          <w:sz w:val="26"/>
          <w:szCs w:val="26"/>
        </w:rPr>
        <w:t>BIOLOGÍA DEL COMPORTAMIENTO</w:t>
      </w:r>
    </w:p>
    <w:p w14:paraId="0420D8C6" w14:textId="77777777" w:rsidR="00375EC4" w:rsidRDefault="009A6FCC">
      <w:pPr>
        <w:spacing w:before="60"/>
        <w:jc w:val="center"/>
      </w:pPr>
      <w:r>
        <w:rPr>
          <w:color w:val="595959"/>
        </w:rPr>
        <w:t>Psicología — Orientación Neurológica</w:t>
      </w:r>
    </w:p>
    <w:p w14:paraId="0420D8C7" w14:textId="77777777" w:rsidR="00375EC4" w:rsidRDefault="009A6FCC">
      <w:pPr>
        <w:spacing w:before="520"/>
        <w:jc w:val="center"/>
      </w:pPr>
      <w:r>
        <w:rPr>
          <w:b/>
          <w:bCs/>
          <w:color w:val="1F3864"/>
          <w:sz w:val="64"/>
          <w:szCs w:val="64"/>
        </w:rPr>
        <w:t>Clase 7</w:t>
      </w:r>
    </w:p>
    <w:p w14:paraId="0420D8C8" w14:textId="77777777" w:rsidR="00375EC4" w:rsidRDefault="009A6FCC">
      <w:pPr>
        <w:spacing w:before="80"/>
        <w:jc w:val="center"/>
      </w:pPr>
      <w:r>
        <w:rPr>
          <w:b/>
          <w:bCs/>
          <w:color w:val="1F3864"/>
          <w:sz w:val="40"/>
          <w:szCs w:val="40"/>
        </w:rPr>
        <w:t>Psicodélicos y Ensayos Clínicos</w:t>
      </w:r>
    </w:p>
    <w:p w14:paraId="0420D8C9" w14:textId="77777777" w:rsidR="00375EC4" w:rsidRDefault="009A6FCC">
      <w:pPr>
        <w:spacing w:before="700"/>
        <w:jc w:val="center"/>
      </w:pPr>
      <w:r>
        <w:rPr>
          <w:i/>
          <w:iCs/>
          <w:color w:val="595959"/>
          <w:sz w:val="24"/>
          <w:szCs w:val="24"/>
        </w:rPr>
        <w:t>Material de estudio ampliado</w:t>
      </w:r>
    </w:p>
    <w:p w14:paraId="0420D8CA" w14:textId="77777777" w:rsidR="00375EC4" w:rsidRDefault="009A6FCC">
      <w:pPr>
        <w:spacing w:before="40"/>
        <w:jc w:val="center"/>
      </w:pPr>
      <w:r>
        <w:rPr>
          <w:color w:val="595959"/>
          <w:sz w:val="20"/>
          <w:szCs w:val="20"/>
        </w:rPr>
        <w:t>Apuntes de clase desarrollados, con tablas y figuras del teórico</w:t>
      </w:r>
    </w:p>
    <w:p w14:paraId="0420D8CB" w14:textId="77777777" w:rsidR="00375EC4" w:rsidRDefault="009A6FCC">
      <w:r>
        <w:br w:type="page"/>
      </w:r>
    </w:p>
    <w:p w14:paraId="0420D8CC" w14:textId="77777777" w:rsidR="00375EC4" w:rsidRDefault="009A6FCC">
      <w:pPr>
        <w:spacing w:after="160"/>
      </w:pPr>
      <w:r>
        <w:rPr>
          <w:b/>
          <w:bCs/>
          <w:color w:val="1F3864"/>
          <w:sz w:val="30"/>
          <w:szCs w:val="30"/>
        </w:rPr>
        <w:lastRenderedPageBreak/>
        <w:t>Contenido</w:t>
      </w:r>
    </w:p>
    <w:sdt>
      <w:sdtPr>
        <w:alias w:val="Contenido"/>
        <w:id w:val="627908649"/>
      </w:sdtPr>
      <w:sdtEndPr/>
      <w:sdtContent>
        <w:p w14:paraId="78904EB4" w14:textId="3BD42868" w:rsidR="00D73790" w:rsidRDefault="009A6FCC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655020" w:history="1">
            <w:r w:rsidR="00D73790" w:rsidRPr="00156161">
              <w:rPr>
                <w:rStyle w:val="Hipervnculo"/>
                <w:noProof/>
              </w:rPr>
              <w:t>Presentación de la clase</w:t>
            </w:r>
            <w:r w:rsidR="00D73790">
              <w:rPr>
                <w:noProof/>
              </w:rPr>
              <w:tab/>
            </w:r>
            <w:r w:rsidR="00D73790">
              <w:rPr>
                <w:noProof/>
              </w:rPr>
              <w:fldChar w:fldCharType="begin"/>
            </w:r>
            <w:r w:rsidR="00D73790">
              <w:rPr>
                <w:noProof/>
              </w:rPr>
              <w:instrText xml:space="preserve"> PAGEREF _Toc233655020 \h </w:instrText>
            </w:r>
            <w:r w:rsidR="00D73790">
              <w:rPr>
                <w:noProof/>
              </w:rPr>
            </w:r>
            <w:r w:rsidR="00D73790">
              <w:rPr>
                <w:noProof/>
              </w:rPr>
              <w:fldChar w:fldCharType="separate"/>
            </w:r>
            <w:r w:rsidR="00D73790">
              <w:rPr>
                <w:noProof/>
              </w:rPr>
              <w:t>4</w:t>
            </w:r>
            <w:r w:rsidR="00D73790">
              <w:rPr>
                <w:noProof/>
              </w:rPr>
              <w:fldChar w:fldCharType="end"/>
            </w:r>
          </w:hyperlink>
        </w:p>
        <w:p w14:paraId="53284E18" w14:textId="572F3330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21" w:history="1">
            <w:r w:rsidRPr="00156161">
              <w:rPr>
                <w:rStyle w:val="Hipervnculo"/>
                <w:noProof/>
              </w:rPr>
              <w:t>Parte 1 — El marco: conciencia y experiencia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48CE8D" w14:textId="5C7F5D19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22" w:history="1">
            <w:r w:rsidRPr="00156161">
              <w:rPr>
                <w:rStyle w:val="Hipervnculo"/>
                <w:noProof/>
              </w:rPr>
              <w:t>1.1 La provocación inicial: “¿Dios ha muerto?”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28DD47" w14:textId="32FCE0A9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23" w:history="1">
            <w:r w:rsidRPr="00156161">
              <w:rPr>
                <w:rStyle w:val="Hipervnculo"/>
                <w:noProof/>
              </w:rPr>
              <w:t>1.2 ¿Qué es la conciencia? Seis maneras de definirla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BDAF67" w14:textId="07992A29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24" w:history="1">
            <w:r w:rsidRPr="00156161">
              <w:rPr>
                <w:rStyle w:val="Hipervnculo"/>
                <w:noProof/>
              </w:rPr>
              <w:t>1.3 Niveles vs. contenidos de la conciencia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FEEE9D" w14:textId="5EB33F9E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25" w:history="1">
            <w:r w:rsidRPr="00156161">
              <w:rPr>
                <w:rStyle w:val="Hipervnculo"/>
                <w:noProof/>
              </w:rPr>
              <w:t>1.4 Neurofenomenología y neurociencia espaciotemporal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14E1F8" w14:textId="783C24A4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26" w:history="1">
            <w:r w:rsidRPr="00156161">
              <w:rPr>
                <w:rStyle w:val="Hipervnculo"/>
                <w:noProof/>
              </w:rPr>
              <w:t>Parte 2 — Los psicodélicos: qué son y cómo se clasifican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2D8DE8" w14:textId="03A80289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27" w:history="1">
            <w:r w:rsidRPr="00156161">
              <w:rPr>
                <w:rStyle w:val="Hipervnculo"/>
                <w:noProof/>
              </w:rPr>
              <w:t>2.1 El problema de nombrarlos: una nube de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A9DA91" w14:textId="6E456E76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28" w:history="1">
            <w:r w:rsidRPr="00156161">
              <w:rPr>
                <w:rStyle w:val="Hipervnculo"/>
                <w:noProof/>
              </w:rPr>
              <w:t>2.2 Situación legal en Argentina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32CBFC" w14:textId="3532E40C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29" w:history="1">
            <w:r w:rsidRPr="00156161">
              <w:rPr>
                <w:rStyle w:val="Hipervnculo"/>
                <w:noProof/>
              </w:rPr>
              <w:t>2.3 De dónde vienen: naturales vs. sintéticos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C85E2E" w14:textId="261E10FC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0" w:history="1">
            <w:r w:rsidRPr="00156161">
              <w:rPr>
                <w:rStyle w:val="Hipervnculo"/>
                <w:noProof/>
              </w:rPr>
              <w:t>2.4 Química: tres grandes familias estructurales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D21089" w14:textId="7E059033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31" w:history="1">
            <w:r w:rsidRPr="00156161">
              <w:rPr>
                <w:rStyle w:val="Hipervnculo"/>
                <w:noProof/>
              </w:rPr>
              <w:t>Parte 3 — ¿Qué hacen? Los 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D11B21" w14:textId="20A993F2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2" w:history="1">
            <w:r w:rsidRPr="00156161">
              <w:rPr>
                <w:rStyle w:val="Hipervnculo"/>
                <w:noProof/>
              </w:rPr>
              <w:t>3.1 Cuatro dimensiones de efecto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0AA624" w14:textId="594000C7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3" w:history="1">
            <w:r w:rsidRPr="00156161">
              <w:rPr>
                <w:rStyle w:val="Hipervnculo"/>
                <w:noProof/>
              </w:rPr>
              <w:t>3.2 La disolución del yo (self-loss / ego dissolution)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949528" w14:textId="2578EB25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4" w:history="1">
            <w:r w:rsidRPr="00156161">
              <w:rPr>
                <w:rStyle w:val="Hipervnculo"/>
                <w:noProof/>
              </w:rPr>
              <w:t>3.3 Por qué interesan a la neurociencia: plasticidad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2B16D2" w14:textId="10A202DF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5" w:history="1">
            <w:r w:rsidRPr="00156161">
              <w:rPr>
                <w:rStyle w:val="Hipervnculo"/>
                <w:noProof/>
              </w:rPr>
              <w:t>3.4 Seguridad: ¿son peligrosos?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17305C" w14:textId="1CEBB579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36" w:history="1">
            <w:r w:rsidRPr="00156161">
              <w:rPr>
                <w:rStyle w:val="Hipervnculo"/>
                <w:noProof/>
              </w:rPr>
              <w:t>Parte 4 — ¿Cómo lo hacen? Farmacología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A70A7F" w14:textId="04BBC591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7" w:history="1">
            <w:r w:rsidRPr="00156161">
              <w:rPr>
                <w:rStyle w:val="Hipervnculo"/>
                <w:noProof/>
              </w:rPr>
              <w:t>4.1 Repaso: neurotransmisores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4A7224" w14:textId="11CD4F2F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8" w:history="1">
            <w:r w:rsidRPr="00156161">
              <w:rPr>
                <w:rStyle w:val="Hipervnculo"/>
                <w:noProof/>
              </w:rPr>
              <w:t>4.2 Vías de neurotransmisión en el cerebro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09BE45" w14:textId="43403C6F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39" w:history="1">
            <w:r w:rsidRPr="00156161">
              <w:rPr>
                <w:rStyle w:val="Hipervnculo"/>
                <w:noProof/>
              </w:rPr>
              <w:t>4.3 Conceptos farmacológicos esenciales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D54C30" w14:textId="1A49E1EB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0" w:history="1">
            <w:r w:rsidRPr="00156161">
              <w:rPr>
                <w:rStyle w:val="Hipervnculo"/>
                <w:noProof/>
              </w:rPr>
              <w:t>4.4 Vías de administración y velocidad de efecto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D88F39" w14:textId="37158AEC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1" w:history="1">
            <w:r w:rsidRPr="00156161">
              <w:rPr>
                <w:rStyle w:val="Hipervnculo"/>
                <w:noProof/>
              </w:rPr>
              <w:t>4.5 Curva dosis-respuesta e índice terapéutico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FB69FB" w14:textId="6176A4AA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2" w:history="1">
            <w:r w:rsidRPr="00156161">
              <w:rPr>
                <w:rStyle w:val="Hipervnculo"/>
                <w:noProof/>
              </w:rPr>
              <w:t>4.6 Dónde puede actuar un fármaco en la sinapsis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1D87CB" w14:textId="36CCA553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3" w:history="1">
            <w:r w:rsidRPr="00156161">
              <w:rPr>
                <w:rStyle w:val="Hipervnculo"/>
                <w:noProof/>
              </w:rPr>
              <w:t>4.7 Mecanismo específico de cada psicodélico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EF46C6" w14:textId="6EE4F61A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4" w:history="1">
            <w:r w:rsidRPr="00156161">
              <w:rPr>
                <w:rStyle w:val="Hipervnculo"/>
                <w:noProof/>
              </w:rPr>
              <w:t>4.8 Polifarmacología: por qué los efectos son complejos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7ACD1B" w14:textId="1C82ED08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5" w:history="1">
            <w:r w:rsidRPr="00156161">
              <w:rPr>
                <w:rStyle w:val="Hipervnculo"/>
                <w:noProof/>
              </w:rPr>
              <w:t>4.9 El caso de la ketamina: dosis y mecanismos profundos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1B60F8" w14:textId="29B11F0B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6" w:history="1">
            <w:r w:rsidRPr="00156161">
              <w:rPr>
                <w:rStyle w:val="Hipervnculo"/>
                <w:noProof/>
              </w:rPr>
              <w:t>4.10 Síntesis: psicodélicos y remodelación de circuitos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63F3F8" w14:textId="7EFD7CE7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47" w:history="1">
            <w:r w:rsidRPr="00156161">
              <w:rPr>
                <w:rStyle w:val="Hipervnculo"/>
                <w:noProof/>
              </w:rPr>
              <w:t>Parte 5 — ¿Para qué se usan? Usos recreativos vs. clínicos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933DD2" w14:textId="5AAC066F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48" w:history="1">
            <w:r w:rsidRPr="00156161">
              <w:rPr>
                <w:rStyle w:val="Hipervnculo"/>
                <w:noProof/>
              </w:rPr>
              <w:t>Parte 6 — Ensayos clínicos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AB77B20" w14:textId="79A836A8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49" w:history="1">
            <w:r w:rsidRPr="00156161">
              <w:rPr>
                <w:rStyle w:val="Hipervnculo"/>
                <w:noProof/>
              </w:rPr>
              <w:t>6.1 ¿Qué es un buen estudio? Cinco atributos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FB72AA" w14:textId="78F502EA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0" w:history="1">
            <w:r w:rsidRPr="00156161">
              <w:rPr>
                <w:rStyle w:val="Hipervnculo"/>
                <w:noProof/>
              </w:rPr>
              <w:t>6.2 Consideraciones éticas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6A96C9" w14:textId="58CE89D3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1" w:history="1">
            <w:r w:rsidRPr="00156161">
              <w:rPr>
                <w:rStyle w:val="Hipervnculo"/>
                <w:noProof/>
              </w:rPr>
              <w:t>6.3 Poblaciones especiales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276B3F" w14:textId="6612CB26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2" w:history="1">
            <w:r w:rsidRPr="00156161">
              <w:rPr>
                <w:rStyle w:val="Hipervnculo"/>
                <w:noProof/>
              </w:rPr>
              <w:t>6.4 Fases de un ensayo clínico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F4A1BA4" w14:textId="11C3FE2C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3" w:history="1">
            <w:r w:rsidRPr="00156161">
              <w:rPr>
                <w:rStyle w:val="Hipervnculo"/>
                <w:noProof/>
              </w:rPr>
              <w:t>6.5 El recorrido de los participantes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132E8D" w14:textId="7676420E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4" w:history="1">
            <w:r w:rsidRPr="00156161">
              <w:rPr>
                <w:rStyle w:val="Hipervnculo"/>
                <w:noProof/>
              </w:rPr>
              <w:t>6.6 Aleatorización (asignación al azar)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EDDE77" w14:textId="7EF2273E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5" w:history="1">
            <w:r w:rsidRPr="00156161">
              <w:rPr>
                <w:rStyle w:val="Hipervnculo"/>
                <w:noProof/>
              </w:rPr>
              <w:t>6.7 Enmascaramiento (ciego)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37C7631" w14:textId="3CC4379A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6" w:history="1">
            <w:r w:rsidRPr="00156161">
              <w:rPr>
                <w:rStyle w:val="Hipervnculo"/>
                <w:noProof/>
              </w:rPr>
              <w:t>6.8 Controles y placebo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8CEEC20" w14:textId="12F2146B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7" w:history="1">
            <w:r w:rsidRPr="00156161">
              <w:rPr>
                <w:rStyle w:val="Hipervnculo"/>
                <w:noProof/>
              </w:rPr>
              <w:t>6.9 Diseños de ensayo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545558D" w14:textId="45BDD457" w:rsidR="00D73790" w:rsidRDefault="00D73790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55058" w:history="1">
            <w:r w:rsidRPr="00156161">
              <w:rPr>
                <w:rStyle w:val="Hipervnculo"/>
                <w:noProof/>
              </w:rPr>
              <w:t>6.10 Metodología: tipos de hipótesis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FEFD876" w14:textId="58C2BC0E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59" w:history="1">
            <w:r w:rsidRPr="00156161">
              <w:rPr>
                <w:rStyle w:val="Hipervnculo"/>
                <w:noProof/>
              </w:rPr>
              <w:t>Glosario rápido para repasar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F5029B1" w14:textId="6DC3255B" w:rsidR="00D73790" w:rsidRDefault="00D73790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55060" w:history="1">
            <w:r w:rsidRPr="00156161">
              <w:rPr>
                <w:rStyle w:val="Hipervnculo"/>
                <w:noProof/>
              </w:rPr>
              <w:t>Preguntas de autoevaluación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420D8CE" w14:textId="215C4AD6" w:rsidR="00375EC4" w:rsidRDefault="009A6FCC">
          <w:r>
            <w:fldChar w:fldCharType="end"/>
          </w:r>
        </w:p>
      </w:sdtContent>
    </w:sdt>
    <w:p w14:paraId="0420D8CF" w14:textId="77777777" w:rsidR="00375EC4" w:rsidRDefault="009A6FCC">
      <w:r>
        <w:br w:type="page"/>
      </w:r>
    </w:p>
    <w:p w14:paraId="0420D8D0" w14:textId="77777777" w:rsidR="00375EC4" w:rsidRDefault="009A6FCC">
      <w:pPr>
        <w:pStyle w:val="Ttulo1"/>
      </w:pPr>
      <w:bookmarkStart w:id="0" w:name="_Toc233655020"/>
      <w:r>
        <w:lastRenderedPageBreak/>
        <w:t>Presentación de la clase</w:t>
      </w:r>
      <w:bookmarkEnd w:id="0"/>
    </w:p>
    <w:p w14:paraId="0420D8D1" w14:textId="77777777" w:rsidR="00375EC4" w:rsidRDefault="009A6FCC">
      <w:pPr>
        <w:spacing w:after="120" w:line="276" w:lineRule="auto"/>
      </w:pPr>
      <w:r>
        <w:t xml:space="preserve">Esta clase tiene </w:t>
      </w:r>
      <w:r>
        <w:rPr>
          <w:b/>
          <w:bCs/>
        </w:rPr>
        <w:t>dos grandes bloques</w:t>
      </w:r>
      <w:r>
        <w:t xml:space="preserve"> que conviene no confundir:</w:t>
      </w:r>
    </w:p>
    <w:p w14:paraId="0420D8D2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1) Psicodélicos: </w:t>
      </w:r>
      <w:r>
        <w:t>qué son, cómo se clasifican, qué le hacen al cere</w:t>
      </w:r>
      <w:r>
        <w:t>bro y para qué se investigan.</w:t>
      </w:r>
    </w:p>
    <w:p w14:paraId="0420D8D3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2) Ensayos clínicos: </w:t>
      </w:r>
      <w:r>
        <w:t>la metodología científica con la que se prueba si una sustancia (psicodélica o no) realmente sirve y es segura.</w:t>
      </w:r>
    </w:p>
    <w:p w14:paraId="0420D8D4" w14:textId="77777777" w:rsidR="00375EC4" w:rsidRDefault="009A6FCC">
      <w:pPr>
        <w:spacing w:after="120" w:line="276" w:lineRule="auto"/>
      </w:pPr>
      <w:r>
        <w:t xml:space="preserve">El hilo que une ambos bloques es una pregunta de fondo: </w:t>
      </w:r>
      <w:r>
        <w:rPr>
          <w:b/>
          <w:bCs/>
        </w:rPr>
        <w:t xml:space="preserve">¿qué es la conciencia y cómo podemos </w:t>
      </w:r>
      <w:r>
        <w:rPr>
          <w:b/>
          <w:bCs/>
        </w:rPr>
        <w:t>estudiarla de forma rigurosa cuando una sustancia la modifica?</w:t>
      </w:r>
    </w:p>
    <w:p w14:paraId="0420D8D5" w14:textId="77777777" w:rsidR="00375EC4" w:rsidRDefault="009A6FCC">
      <w:pPr>
        <w:pStyle w:val="Ttulo1"/>
      </w:pPr>
      <w:bookmarkStart w:id="1" w:name="_Toc233655021"/>
      <w:r>
        <w:t>Parte 1 — El marco: conciencia y experiencia</w:t>
      </w:r>
      <w:bookmarkEnd w:id="1"/>
    </w:p>
    <w:p w14:paraId="0420D8D6" w14:textId="77777777" w:rsidR="00375EC4" w:rsidRDefault="009A6FCC">
      <w:pPr>
        <w:pStyle w:val="Ttulo2"/>
      </w:pPr>
      <w:bookmarkStart w:id="2" w:name="_Toc233655022"/>
      <w:r>
        <w:t>1.1 La provocación inicial: “¿Dios ha muerto?”</w:t>
      </w:r>
      <w:bookmarkEnd w:id="2"/>
    </w:p>
    <w:p w14:paraId="0420D8D7" w14:textId="77777777" w:rsidR="00375EC4" w:rsidRDefault="009A6FCC">
      <w:pPr>
        <w:spacing w:after="120" w:line="276" w:lineRule="auto"/>
      </w:pPr>
      <w:r>
        <w:t xml:space="preserve">La clase abre con la frase de </w:t>
      </w:r>
      <w:r>
        <w:rPr>
          <w:b/>
          <w:bCs/>
        </w:rPr>
        <w:t>Nietzsche</w:t>
      </w:r>
      <w:r>
        <w:t xml:space="preserve"> (“Dios ha muerto”) usada de forma irónica. La idea es instala</w:t>
      </w:r>
      <w:r>
        <w:t xml:space="preserve">r el tema de fondo: los psicodélicos han estado históricamente ligados a experiencias </w:t>
      </w:r>
      <w:r>
        <w:rPr>
          <w:b/>
          <w:bCs/>
        </w:rPr>
        <w:t>místicas, espirituales y de trascendencia</w:t>
      </w:r>
      <w:r>
        <w:t xml:space="preserve">. Muchas culturas los usaron para “contactar lo sagrado” (de ahí el término </w:t>
      </w:r>
      <w:r>
        <w:rPr>
          <w:i/>
          <w:iCs/>
        </w:rPr>
        <w:t>enteógeno</w:t>
      </w:r>
      <w:r>
        <w:t>). La pregunta funciona como gancho para dis</w:t>
      </w:r>
      <w:r>
        <w:t>cutir si esas experiencias son “reales”, qué son fenomenológicamente, y si la neurociencia puede decir algo sobre ellas.</w:t>
      </w:r>
    </w:p>
    <w:p w14:paraId="0420D8D8" w14:textId="77777777" w:rsidR="00375EC4" w:rsidRDefault="009A6FCC">
      <w:pPr>
        <w:pStyle w:val="Ttulo2"/>
      </w:pPr>
      <w:bookmarkStart w:id="3" w:name="_Toc233655023"/>
      <w:r>
        <w:t>1.2 ¿Qué es la conciencia? Seis maneras de definirla</w:t>
      </w:r>
      <w:bookmarkEnd w:id="3"/>
    </w:p>
    <w:p w14:paraId="0420D8D9" w14:textId="77777777" w:rsidR="00375EC4" w:rsidRDefault="009A6FCC">
      <w:pPr>
        <w:spacing w:after="120" w:line="276" w:lineRule="auto"/>
      </w:pPr>
      <w:r>
        <w:t xml:space="preserve">No hay </w:t>
      </w:r>
      <w:r>
        <w:rPr>
          <w:b/>
          <w:bCs/>
        </w:rPr>
        <w:t>una sola</w:t>
      </w:r>
      <w:r>
        <w:t xml:space="preserve"> definición de conciencia. La clase presenta varias perspectivas, c</w:t>
      </w:r>
      <w:r>
        <w:t>ada una con su tradición. Entenderlas da el vocabulario para discutir qué “tocan” los psicodélicos.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626"/>
        <w:gridCol w:w="2100"/>
      </w:tblGrid>
      <w:tr w:rsidR="00375EC4" w14:paraId="0420D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DA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Perspectiva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DB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 central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DC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Tradición / autor</w:t>
            </w:r>
          </w:p>
        </w:tc>
      </w:tr>
      <w:tr w:rsidR="00375EC4" w14:paraId="0420D8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DE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Intencionalidad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DF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La conciencia siempre es “conciencia de algo”: el acto de dirigirse hacia un objeto (físico, mental o imaginario).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0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Fenomenología (Brentano, Husserl)</w:t>
            </w:r>
          </w:p>
        </w:tc>
      </w:tr>
      <w:tr w:rsidR="00375EC4" w14:paraId="0420D8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2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Awareness (vigilancia)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3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Percatación del entorno y de uno mismo. Tiene estados (vigilia, sueño, coma…) que cambian el comportamiento.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4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Neurología clínica</w:t>
            </w:r>
          </w:p>
        </w:tc>
      </w:tr>
      <w:tr w:rsidR="00375EC4" w14:paraId="0420D8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6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Conciencia pura / no dual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7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El sustrato fundamental de la existencia, el “testigo silencioso”. No sería un producto del cerebro, sino la realidad última que aparece al aquietar la mente.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8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Tradiciones contemplativas / no-dualidad</w:t>
            </w:r>
          </w:p>
        </w:tc>
      </w:tr>
      <w:tr w:rsidR="00375EC4" w14:paraId="0420D8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A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Espacio de trabajo global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B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La información se vuelve consciente cuando es amplificada por la atención e integrada en un “espacio de trabajo” accesible a múltiples sistemas.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C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Global Workspace Theory (Baars, Dehaene)</w:t>
            </w:r>
          </w:p>
        </w:tc>
      </w:tr>
      <w:tr w:rsidR="00375EC4" w14:paraId="0420D8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E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Qualia / experiencia subjetiva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EF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“Lo que se siente al ser algo”. Se divide en el problema fácil (funciones cognitivas) y el problema difícil (por qué hay experiencia).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F0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Filosofía de la mente (Chalmers)</w:t>
            </w:r>
          </w:p>
        </w:tc>
      </w:tr>
      <w:tr w:rsidR="00375EC4" w14:paraId="0420D8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F2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Proceso dinámico encarnado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F3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Surge de la interacción cuerpo–cerebro–mundo; se comprende integrando lo subjetivo con los datos objetivos del cerebro.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8F4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Enactivismo / neurofenomenología (Varela)</w:t>
            </w:r>
          </w:p>
        </w:tc>
      </w:tr>
    </w:tbl>
    <w:p w14:paraId="0420D8F6" w14:textId="77777777" w:rsidR="00375EC4" w:rsidRDefault="00375EC4">
      <w:pPr>
        <w:spacing w:after="60"/>
      </w:pPr>
    </w:p>
    <w:p w14:paraId="0420D8F7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Cada teoría predice algo distinto sobre qué pasa bajo el efecto de la sustancia. La </w:t>
      </w:r>
      <w:r>
        <w:rPr>
          <w:i/>
          <w:iCs/>
        </w:rPr>
        <w:t>Global Workspace Theory</w:t>
      </w:r>
      <w:r>
        <w:t xml:space="preserve"> sugiere que un psicodélico podría desorganizar la “amplificación” de información; la perspectiva enactiva mira la experiencia subjetiva como dato le</w:t>
      </w:r>
      <w:r>
        <w:t>gítimo a explicar.</w:t>
      </w:r>
    </w:p>
    <w:p w14:paraId="0420D8F8" w14:textId="77777777" w:rsidR="00375EC4" w:rsidRDefault="009A6FCC">
      <w:pPr>
        <w:pStyle w:val="Ttulo2"/>
      </w:pPr>
      <w:bookmarkStart w:id="4" w:name="_Toc233655024"/>
      <w:r>
        <w:t>1.3 Niveles vs. contenidos de la conciencia</w:t>
      </w:r>
      <w:bookmarkEnd w:id="4"/>
    </w:p>
    <w:p w14:paraId="0420D8F9" w14:textId="77777777" w:rsidR="00375EC4" w:rsidRDefault="009A6FCC">
      <w:pPr>
        <w:spacing w:after="120" w:line="276" w:lineRule="auto"/>
      </w:pPr>
      <w:r>
        <w:t xml:space="preserve">Una imagen clave grafica la conciencia en </w:t>
      </w:r>
      <w:r>
        <w:rPr>
          <w:b/>
          <w:bCs/>
        </w:rPr>
        <w:t>dos ejes</w:t>
      </w:r>
      <w:r>
        <w:t>, distinción muy usada en neurología:</w:t>
      </w:r>
    </w:p>
    <w:p w14:paraId="0420D8F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Eje horizontal — Niveles (estado de alerta / arousal): </w:t>
      </w:r>
      <w:r>
        <w:t>cuán “despierto” está el sistema.</w:t>
      </w:r>
    </w:p>
    <w:p w14:paraId="0420D8FB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Eje vertical — C</w:t>
      </w:r>
      <w:r>
        <w:rPr>
          <w:b/>
          <w:bCs/>
        </w:rPr>
        <w:t xml:space="preserve">ontenidos (percatación): </w:t>
      </w:r>
      <w:r>
        <w:t>cuánto y qué se experimenta.</w:t>
      </w:r>
    </w:p>
    <w:p w14:paraId="0420D8FC" w14:textId="77777777" w:rsidR="00375EC4" w:rsidRDefault="009A6FCC">
      <w:pPr>
        <w:spacing w:after="120" w:line="276" w:lineRule="auto"/>
      </w:pPr>
      <w:r>
        <w:t>Esto permite ubicar distintos estados:</w:t>
      </w:r>
    </w:p>
    <w:p w14:paraId="0420D8FD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Vigilia normal: </w:t>
      </w:r>
      <w:r>
        <w:t>alto en ambos ejes.</w:t>
      </w:r>
    </w:p>
    <w:p w14:paraId="0420D8FE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Sueño </w:t>
      </w:r>
      <w:r>
        <w:t xml:space="preserve">(liviano → profundo) y </w:t>
      </w:r>
      <w:r>
        <w:rPr>
          <w:b/>
          <w:bCs/>
        </w:rPr>
        <w:t xml:space="preserve">sueño MOR/REM: </w:t>
      </w:r>
      <w:r>
        <w:t>el REM es curioso porque hay contenidos ricos (sueños) con bajo arousal externo.</w:t>
      </w:r>
    </w:p>
    <w:p w14:paraId="0420D8F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Obnubilación: </w:t>
      </w:r>
      <w:r>
        <w:t>estado intermedio, conciencia “nublada”.</w:t>
      </w:r>
    </w:p>
    <w:p w14:paraId="0420D900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Anestesia general y coma: </w:t>
      </w:r>
      <w:r>
        <w:t>bajos en ambos ejes.</w:t>
      </w:r>
    </w:p>
    <w:p w14:paraId="0420D901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Estados disociados </w:t>
      </w:r>
      <w:r>
        <w:t>(sonambulismo, crisis de ausencia, estado vegetativo):</w:t>
      </w:r>
      <w:r>
        <w:t xml:space="preserve"> los dos ejes se </w:t>
      </w:r>
      <w:r>
        <w:rPr>
          <w:i/>
          <w:iCs/>
        </w:rPr>
        <w:t>desacoplan</w:t>
      </w:r>
      <w:r>
        <w:t xml:space="preserve"> — puede haber arousal sin percatación, o viceversa.</w:t>
      </w:r>
    </w:p>
    <w:p w14:paraId="0420D902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CC" wp14:editId="0420DACD">
            <wp:extent cx="5334000" cy="4495800"/>
            <wp:effectExtent l="0" t="0" r="0" b="0"/>
            <wp:docPr id="1" name="fig_4" descr="Figura 1. Niveles vs. contenidos de la conciencia. El eje horizontal es el nivel (arousal) y el vertical los contenidos (percatación); ubica estados como vigilia, sueño REM, anestesia o estados disociado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03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1. Niveles vs. contenidos de la conciencia. El eje horizontal es el nivel (arousal) y el vertical los contenidos (percatación); ubica estados como vigilia, sueño REM, anestesia o estados disociados.</w:t>
      </w:r>
    </w:p>
    <w:p w14:paraId="0420D904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“Estar despierto” (nivel) y “tener </w:t>
      </w:r>
      <w:r>
        <w:t xml:space="preserve">experiencia” (contenido) son cosas distinguibles. Los estados alterados —incluidos los psicodélicos— se entienden como </w:t>
      </w:r>
      <w:r>
        <w:rPr>
          <w:b/>
          <w:bCs/>
        </w:rPr>
        <w:t>desplazamientos en este espacio de dos ejes</w:t>
      </w:r>
      <w:r>
        <w:t>.</w:t>
      </w:r>
    </w:p>
    <w:p w14:paraId="0420D905" w14:textId="77777777" w:rsidR="00375EC4" w:rsidRDefault="009A6FCC">
      <w:pPr>
        <w:pStyle w:val="Ttulo2"/>
      </w:pPr>
      <w:bookmarkStart w:id="5" w:name="_Toc233655025"/>
      <w:r>
        <w:t>1.4 Neurofenomenología y neurociencia espaciotemporal</w:t>
      </w:r>
      <w:bookmarkEnd w:id="5"/>
    </w:p>
    <w:p w14:paraId="0420D906" w14:textId="77777777" w:rsidR="00375EC4" w:rsidRDefault="009A6FCC">
      <w:pPr>
        <w:spacing w:after="120" w:line="276" w:lineRule="auto"/>
      </w:pPr>
      <w:r>
        <w:t>Un enfoque metodológico para no quedar</w:t>
      </w:r>
      <w:r>
        <w:t>se solo en “lo que se siente” ni solo en “lo que mide el cerebro”:</w:t>
      </w:r>
    </w:p>
    <w:p w14:paraId="0420D907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Neurofenomenología (Varela): </w:t>
      </w:r>
      <w:r>
        <w:t xml:space="preserve">propone una </w:t>
      </w:r>
      <w:r>
        <w:rPr>
          <w:b/>
          <w:bCs/>
        </w:rPr>
        <w:t>“circularidad disciplinada”</w:t>
      </w:r>
      <w:r>
        <w:t xml:space="preserve"> entre la </w:t>
      </w:r>
      <w:r>
        <w:rPr>
          <w:b/>
          <w:bCs/>
        </w:rPr>
        <w:t>primera persona (1PP)</w:t>
      </w:r>
      <w:r>
        <w:t xml:space="preserve"> —lo fenoménico que el sujeto reporta— y la </w:t>
      </w:r>
      <w:r>
        <w:rPr>
          <w:b/>
          <w:bCs/>
        </w:rPr>
        <w:t>tercera persona (3PP)</w:t>
      </w:r>
      <w:r>
        <w:t xml:space="preserve"> —lo neuronal medible. Ni</w:t>
      </w:r>
      <w:r>
        <w:t>nguna tiene prioridad absoluta: se corrigen mutuamente.</w:t>
      </w:r>
    </w:p>
    <w:p w14:paraId="0420D90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 priori biológicos: </w:t>
      </w:r>
      <w:r>
        <w:t xml:space="preserve">retoma a Kant pero “encarnado”. Las estructuras biológicas (receptores, redes) </w:t>
      </w:r>
      <w:r>
        <w:rPr>
          <w:b/>
          <w:bCs/>
        </w:rPr>
        <w:t>predeterminan el mundo (Umwelt)</w:t>
      </w:r>
      <w:r>
        <w:t xml:space="preserve"> del organismo y la calidad de su experiencia. Cambiar esos receptore</w:t>
      </w:r>
      <w:r>
        <w:t>s (p. ej. con un fármaco) cambia la experiencia posible.</w:t>
      </w:r>
    </w:p>
    <w:p w14:paraId="0420D90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Neurociencia espaciotemporal (Northoff): </w:t>
      </w:r>
      <w:r>
        <w:t xml:space="preserve">busca una “moneda común” entre lo fenoménico y lo neuronal en la </w:t>
      </w:r>
      <w:r>
        <w:rPr>
          <w:b/>
          <w:bCs/>
        </w:rPr>
        <w:t>dinámica espaciotemporal</w:t>
      </w:r>
      <w:r>
        <w:t xml:space="preserve"> del cerebro.</w:t>
      </w:r>
    </w:p>
    <w:p w14:paraId="0420D90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Meditación como reorganización del “self”: </w:t>
      </w:r>
      <w:r>
        <w:t>ejemplo dond</w:t>
      </w:r>
      <w:r>
        <w:t xml:space="preserve">e 1PP y 3PP se cruzan. Se vinculan fenómenos subjetivos (no-dualidad, ecuanimidad, conciencia corporal) con sustratos como la </w:t>
      </w:r>
      <w:r>
        <w:rPr>
          <w:b/>
          <w:bCs/>
        </w:rPr>
        <w:t>ínsula</w:t>
      </w:r>
      <w:r>
        <w:t xml:space="preserve"> (interocepción) y el equilibrio entre la </w:t>
      </w:r>
      <w:r>
        <w:rPr>
          <w:b/>
          <w:bCs/>
        </w:rPr>
        <w:t>DMN</w:t>
      </w:r>
      <w:r>
        <w:t xml:space="preserve"> (red por defecto, “yo narrativo”) y la </w:t>
      </w:r>
      <w:r>
        <w:rPr>
          <w:b/>
          <w:bCs/>
        </w:rPr>
        <w:t>CEN</w:t>
      </w:r>
      <w:r>
        <w:t xml:space="preserve"> (red ejecutiva central).</w:t>
      </w:r>
    </w:p>
    <w:p w14:paraId="0420D90B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CE" wp14:editId="0420DACF">
            <wp:extent cx="5334000" cy="3067050"/>
            <wp:effectExtent l="0" t="0" r="0" b="0"/>
            <wp:docPr id="2" name="fig_6" descr="Figura 2. Neurofenomenología y neurociencia espaciotemporal. La “circularidad disciplinada” vincula la 1PP (rasgos fenoménicos) con la 3PP (rasgos neuronales)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0C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2</w:t>
      </w:r>
      <w:r>
        <w:rPr>
          <w:i/>
          <w:iCs/>
          <w:color w:val="595959"/>
          <w:sz w:val="18"/>
          <w:szCs w:val="18"/>
        </w:rPr>
        <w:t>. Neurofenomenología y neurociencia espaciotemporal. La “circularidad disciplinada” vincula la 1PP (rasgos fenoménicos) con la 3PP (rasgos neuronales).</w:t>
      </w:r>
    </w:p>
    <w:p w14:paraId="0420D90D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0" wp14:editId="0420DAD1">
            <wp:extent cx="5267325" cy="5715000"/>
            <wp:effectExtent l="0" t="0" r="0" b="0"/>
            <wp:docPr id="3" name="fig_7" descr="Figura 3. Reorganización del “self” en la meditación: no-dualidad, ecuanimidad y conciencia corporal se ligan con la ínsula y el equilibrio DMN–CEN como “moneda común”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0E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3. Reorganización del “self” en la meditación: no-dualidad, ecuanimidad y conciencia corporal s</w:t>
      </w:r>
      <w:r>
        <w:rPr>
          <w:i/>
          <w:iCs/>
          <w:color w:val="595959"/>
          <w:sz w:val="18"/>
          <w:szCs w:val="18"/>
        </w:rPr>
        <w:t>e ligan con la ínsula y el equilibrio DMN–CEN como “moneda común”.</w:t>
      </w:r>
    </w:p>
    <w:p w14:paraId="0420D90F" w14:textId="77777777" w:rsidR="00375EC4" w:rsidRDefault="009A6FCC">
      <w:pPr>
        <w:pBdr>
          <w:left w:val="single" w:sz="18" w:space="10" w:color="3A8C5A"/>
        </w:pBdr>
        <w:shd w:val="clear" w:color="auto" w:fill="EAF5EE"/>
        <w:spacing w:before="80" w:after="170" w:line="276" w:lineRule="auto"/>
        <w:ind w:left="170" w:right="90"/>
      </w:pPr>
      <w:r>
        <w:rPr>
          <w:b/>
          <w:bCs/>
          <w:color w:val="3A8C5A"/>
        </w:rPr>
        <w:t xml:space="preserve">→ CONEXIÓN   </w:t>
      </w:r>
      <w:r>
        <w:t xml:space="preserve">Tanto la meditación profunda como los psicodélicos producen </w:t>
      </w:r>
      <w:r>
        <w:rPr>
          <w:b/>
          <w:bCs/>
        </w:rPr>
        <w:t>disolución del yo (ego dissolution)</w:t>
      </w:r>
      <w:r>
        <w:t>, y comparten dianas como la DMN. Este puente reaparece en la Parte 3.</w:t>
      </w:r>
    </w:p>
    <w:p w14:paraId="0420D910" w14:textId="77777777" w:rsidR="00375EC4" w:rsidRDefault="009A6FCC">
      <w:pPr>
        <w:pStyle w:val="Ttulo1"/>
      </w:pPr>
      <w:bookmarkStart w:id="6" w:name="_Toc233655026"/>
      <w:r>
        <w:t>Parte 2 — Los psicodélicos: qué son y cómo se clasifican</w:t>
      </w:r>
      <w:bookmarkEnd w:id="6"/>
    </w:p>
    <w:p w14:paraId="0420D911" w14:textId="77777777" w:rsidR="00375EC4" w:rsidRDefault="009A6FCC">
      <w:pPr>
        <w:pStyle w:val="Ttulo2"/>
      </w:pPr>
      <w:bookmarkStart w:id="7" w:name="_Toc233655027"/>
      <w:r>
        <w:t>2.1 El problema de nombrarlos: una nube de términos</w:t>
      </w:r>
      <w:bookmarkEnd w:id="7"/>
    </w:p>
    <w:p w14:paraId="0420D912" w14:textId="77777777" w:rsidR="00375EC4" w:rsidRDefault="009A6FCC">
      <w:pPr>
        <w:spacing w:after="120" w:line="276" w:lineRule="auto"/>
      </w:pPr>
      <w:r>
        <w:t>No existe una palabra neutral. Cada término carga una teoría o intención sob</w:t>
      </w:r>
      <w:r>
        <w:t>re qué hace la sustancia: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75EC4" w14:paraId="0420D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3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4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Énfasis / origen del nombre</w:t>
            </w:r>
          </w:p>
        </w:tc>
      </w:tr>
      <w:tr w:rsidR="00375EC4" w14:paraId="0420D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6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Psicoactivos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7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Categoría más amplia: cualquier sustancia que afecta la mente (incluye café, alcohol, etc.).</w:t>
            </w:r>
          </w:p>
        </w:tc>
      </w:tr>
      <w:tr w:rsidR="00375EC4" w14:paraId="0420D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9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Psicodélicos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A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“Que manifiesta la mente” (psyche + delos). Término neutral-positivo, hoy el más usado.</w:t>
            </w:r>
          </w:p>
        </w:tc>
      </w:tr>
      <w:tr w:rsidR="00375EC4" w14:paraId="0420D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C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Alucinógenos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D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Énfasis en producir alucinaciones (aunque técnicamente suelen ser ilusiones/distorsiones).</w:t>
            </w:r>
          </w:p>
        </w:tc>
      </w:tr>
      <w:tr w:rsidR="00375EC4" w14:paraId="0420D9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1F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Enteógenos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0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“Que genera lo divino dentro”: énfasis en el uso ritual/espiritual.</w:t>
            </w:r>
          </w:p>
        </w:tc>
      </w:tr>
      <w:tr w:rsidR="00375EC4" w14:paraId="0420D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2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Visionarias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3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Foco en las experiencias visuales/visiones.</w:t>
            </w:r>
          </w:p>
        </w:tc>
      </w:tr>
      <w:tr w:rsidR="00375EC4" w14:paraId="0420D9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5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Psicotomiméticos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6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“Que imitan la psicosis”: término clásico que los veía como modelo de enfermedad mental.</w:t>
            </w:r>
          </w:p>
        </w:tc>
      </w:tr>
      <w:tr w:rsidR="00375EC4" w14:paraId="0420D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8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Psicodislépticos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9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“Que perturban la mente” (clasificación de Delay y Deniker).</w:t>
            </w:r>
          </w:p>
        </w:tc>
      </w:tr>
      <w:tr w:rsidR="00375EC4" w14:paraId="0420D9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B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Psicotónicos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C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Énfasis en activación/estimulación.</w:t>
            </w:r>
          </w:p>
        </w:tc>
      </w:tr>
      <w:tr w:rsidR="00375EC4" w14:paraId="0420D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E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Psicógenos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2F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“Generadores de psiquismo”.</w:t>
            </w:r>
          </w:p>
        </w:tc>
      </w:tr>
      <w:tr w:rsidR="00375EC4" w14:paraId="0420D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31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Phantástica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32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Término histórico de Lewin (clasificación temprana de drogas).</w:t>
            </w:r>
          </w:p>
        </w:tc>
      </w:tr>
      <w:tr w:rsidR="00375EC4" w14:paraId="0420D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34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Eidécticos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35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Relacionados con imágenes mentales vívidas (eidéticas).</w:t>
            </w:r>
          </w:p>
        </w:tc>
      </w:tr>
      <w:tr w:rsidR="00375EC4" w14:paraId="0420D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37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Narcóticos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38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Término legal/coloquial, impreciso científicamente (mezcla opioides, sedantes, etc.).</w:t>
            </w:r>
          </w:p>
        </w:tc>
      </w:tr>
    </w:tbl>
    <w:p w14:paraId="0420D93A" w14:textId="77777777" w:rsidR="00375EC4" w:rsidRDefault="00375EC4">
      <w:pPr>
        <w:spacing w:after="60"/>
      </w:pPr>
    </w:p>
    <w:p w14:paraId="0420D93B" w14:textId="77777777" w:rsidR="00375EC4" w:rsidRDefault="009A6FCC">
      <w:pPr>
        <w:pBdr>
          <w:left w:val="single" w:sz="18" w:space="10" w:color="C9921F"/>
        </w:pBdr>
        <w:shd w:val="clear" w:color="auto" w:fill="FCF3E3"/>
        <w:spacing w:before="80" w:after="170" w:line="276" w:lineRule="auto"/>
        <w:ind w:left="170" w:right="90"/>
      </w:pPr>
      <w:r>
        <w:rPr>
          <w:b/>
          <w:bCs/>
          <w:color w:val="C9921F"/>
        </w:rPr>
        <w:t>⚠</w:t>
      </w:r>
      <w:r>
        <w:rPr>
          <w:b/>
          <w:bCs/>
          <w:color w:val="C9921F"/>
        </w:rPr>
        <w:t xml:space="preserve"> ATENCIÓN   </w:t>
      </w:r>
      <w:r>
        <w:t xml:space="preserve">La elección del término </w:t>
      </w:r>
      <w:r>
        <w:rPr>
          <w:b/>
          <w:bCs/>
        </w:rPr>
        <w:t>no es neutral</w:t>
      </w:r>
      <w:r>
        <w:t>. Llamarlos “psicotomiméticos” implica que reproducen una enfermedad; llamarlos “enteógenos” implica que abren algo valioso. El mismo compuesto, dos marcos opuestos.</w:t>
      </w:r>
    </w:p>
    <w:p w14:paraId="0420D93C" w14:textId="77777777" w:rsidR="00375EC4" w:rsidRDefault="009A6FCC">
      <w:pPr>
        <w:pStyle w:val="Ttulo2"/>
      </w:pPr>
      <w:bookmarkStart w:id="8" w:name="_Toc233655028"/>
      <w:r>
        <w:t>2.2 Situación legal en Argentina</w:t>
      </w:r>
      <w:bookmarkEnd w:id="8"/>
    </w:p>
    <w:p w14:paraId="0420D93D" w14:textId="77777777" w:rsidR="00375EC4" w:rsidRDefault="009A6FCC">
      <w:pPr>
        <w:spacing w:after="120" w:line="276" w:lineRule="auto"/>
      </w:pPr>
      <w:r>
        <w:t xml:space="preserve">La clase muestra el </w:t>
      </w:r>
      <w:r>
        <w:rPr>
          <w:b/>
          <w:bCs/>
        </w:rPr>
        <w:t>Decreto 635/2024</w:t>
      </w:r>
      <w:r>
        <w:t xml:space="preserve"> (modifica el Decreto</w:t>
      </w:r>
      <w:r>
        <w:t xml:space="preserve"> 560/2019), en el marco de la </w:t>
      </w:r>
      <w:r>
        <w:rPr>
          <w:b/>
          <w:bCs/>
        </w:rPr>
        <w:t>Ley 23.737</w:t>
      </w:r>
      <w:r>
        <w:t xml:space="preserve"> (estupefacientes):</w:t>
      </w:r>
    </w:p>
    <w:p w14:paraId="0420D93E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Según el </w:t>
      </w:r>
      <w:r>
        <w:rPr>
          <w:b/>
          <w:bCs/>
        </w:rPr>
        <w:t>art. 77 del Código Penal</w:t>
      </w:r>
      <w:r>
        <w:t xml:space="preserve">, “estupefaciente” comprende estupefacientes, psicotrópicos y demás sustancias </w:t>
      </w:r>
      <w:r>
        <w:rPr>
          <w:b/>
          <w:bCs/>
        </w:rPr>
        <w:t>susceptibles de producir dependencia</w:t>
      </w:r>
      <w:r>
        <w:t xml:space="preserve"> física o psíquica, según listas que actualiza e</w:t>
      </w:r>
      <w:r>
        <w:t>l Poder Ejecutivo.</w:t>
      </w:r>
    </w:p>
    <w:p w14:paraId="0420D93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Varios psicodélicos figuran como </w:t>
      </w:r>
      <w:r>
        <w:rPr>
          <w:b/>
          <w:bCs/>
        </w:rPr>
        <w:t xml:space="preserve">estupefacientes (Anexo I, Decreto 722/91): </w:t>
      </w:r>
      <w:r>
        <w:t>psilocibina, psilocina, DMT, lisergida (LSD), ibogaína, bufotenina, mescalina.</w:t>
      </w:r>
    </w:p>
    <w:p w14:paraId="0420D940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En Argentina estas sustancias están </w:t>
      </w:r>
      <w:r>
        <w:rPr>
          <w:b/>
          <w:bCs/>
        </w:rPr>
        <w:t>fiscalizadas</w:t>
      </w:r>
      <w:r>
        <w:t>. Su investigación clínica requiere autorizaciones especiales — lo que conecta con la segunda parte de la clase (ensayos clínicos regulados).</w:t>
      </w:r>
    </w:p>
    <w:p w14:paraId="0420D941" w14:textId="77777777" w:rsidR="00375EC4" w:rsidRDefault="009A6FCC">
      <w:pPr>
        <w:pStyle w:val="Ttulo2"/>
      </w:pPr>
      <w:bookmarkStart w:id="9" w:name="_Toc233655029"/>
      <w:r>
        <w:t>2.3 De dónde vienen: naturales vs. sintéticos</w:t>
      </w:r>
      <w:bookmarkEnd w:id="9"/>
    </w:p>
    <w:p w14:paraId="0420D942" w14:textId="77777777" w:rsidR="00375EC4" w:rsidRDefault="009A6FCC">
      <w:pPr>
        <w:spacing w:after="120" w:line="276" w:lineRule="auto"/>
      </w:pPr>
      <w:r>
        <w:rPr>
          <w:b/>
          <w:bCs/>
        </w:rPr>
        <w:t>De plantas y hongos:</w:t>
      </w:r>
    </w:p>
    <w:p w14:paraId="0420D943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i/>
          <w:iCs/>
        </w:rPr>
        <w:t>Salvia divinorum</w:t>
      </w:r>
      <w:r>
        <w:t xml:space="preserve"> (salvinorina A — agonista de receptores opioides κ/KOR).</w:t>
      </w:r>
    </w:p>
    <w:p w14:paraId="0420D944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Peyote / cactus</w:t>
      </w:r>
      <w:r>
        <w:t xml:space="preserve"> → mescalina; </w:t>
      </w:r>
      <w:r>
        <w:rPr>
          <w:b/>
          <w:bCs/>
        </w:rPr>
        <w:t>nuez moscada</w:t>
      </w:r>
      <w:r>
        <w:t xml:space="preserve"> (Myristica) → miristicina.</w:t>
      </w:r>
    </w:p>
    <w:p w14:paraId="0420D945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Hongos </w:t>
      </w:r>
      <w:r>
        <w:rPr>
          <w:i/>
          <w:iCs/>
        </w:rPr>
        <w:t>Psilocybe</w:t>
      </w:r>
      <w:r>
        <w:t xml:space="preserve"> → psilocibina; </w:t>
      </w:r>
      <w:r>
        <w:rPr>
          <w:i/>
          <w:iCs/>
        </w:rPr>
        <w:t>Amanita muscaria</w:t>
      </w:r>
      <w:r>
        <w:t xml:space="preserve"> → muscimol.</w:t>
      </w:r>
    </w:p>
    <w:p w14:paraId="0420D946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Liana de </w:t>
      </w:r>
      <w:r>
        <w:rPr>
          <w:b/>
          <w:bCs/>
        </w:rPr>
        <w:t>ayahuasca</w:t>
      </w:r>
      <w:r>
        <w:t xml:space="preserve"> + chacruna → </w:t>
      </w:r>
      <w:r>
        <w:rPr>
          <w:b/>
          <w:bCs/>
        </w:rPr>
        <w:t>DMT</w:t>
      </w:r>
      <w:r>
        <w:t xml:space="preserve"> + inhibidores de MAO.</w:t>
      </w:r>
    </w:p>
    <w:p w14:paraId="0420D947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Belladona, Brugmansia/Datura (floripondio)</w:t>
      </w:r>
      <w:r>
        <w:t xml:space="preserve"> → alcaloides anticolinérgicos (atropina, escopolamina). </w:t>
      </w:r>
      <w:r>
        <w:rPr>
          <w:b/>
          <w:bCs/>
        </w:rPr>
        <w:t>Tabaco</w:t>
      </w:r>
      <w:r>
        <w:t xml:space="preserve"> → nicotina.</w:t>
      </w:r>
    </w:p>
    <w:p w14:paraId="0420D948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De animales: </w:t>
      </w:r>
      <w:r>
        <w:t>sapo (</w:t>
      </w:r>
      <w:r>
        <w:rPr>
          <w:i/>
          <w:iCs/>
        </w:rPr>
        <w:t>Bufo alvarius</w:t>
      </w:r>
      <w:r>
        <w:t>) → bufotenina / 5-MeO-DMT.</w:t>
      </w:r>
    </w:p>
    <w:p w14:paraId="0420D949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Sintéticos: </w:t>
      </w:r>
      <w:r>
        <w:t>ketamina, fenciclidina (PCP), LSD.</w:t>
      </w:r>
    </w:p>
    <w:p w14:paraId="0420D94A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2" wp14:editId="0420DAD3">
            <wp:extent cx="5334000" cy="3000375"/>
            <wp:effectExtent l="0" t="0" r="0" b="0"/>
            <wp:docPr id="4" name="fig_12" descr="Figura 4. Fuentes naturales de psicodélicos: plantas, hongos y cactus (peyote/mescalina, Psilocybe/psilocibina, ayahuasca/DMT, Datura, etc.)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4B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</w:t>
      </w:r>
      <w:r>
        <w:rPr>
          <w:i/>
          <w:iCs/>
          <w:color w:val="595959"/>
          <w:sz w:val="18"/>
          <w:szCs w:val="18"/>
        </w:rPr>
        <w:t xml:space="preserve"> 4. Fuentes naturales de psicodélicos: plantas, hongos y cactus (peyote/mescalina, Psilocybe/psilocibina, ayahuasca/DMT, Datura, etc.).</w:t>
      </w:r>
    </w:p>
    <w:p w14:paraId="0420D94C" w14:textId="77777777" w:rsidR="00375EC4" w:rsidRDefault="009A6FCC">
      <w:pPr>
        <w:pStyle w:val="Ttulo2"/>
      </w:pPr>
      <w:bookmarkStart w:id="10" w:name="_Toc233655030"/>
      <w:r>
        <w:t>2.4 Química: tres grandes familias estructurales</w:t>
      </w:r>
      <w:bookmarkEnd w:id="10"/>
    </w:p>
    <w:p w14:paraId="0420D94D" w14:textId="77777777" w:rsidR="00375EC4" w:rsidRDefault="009A6FCC">
      <w:pPr>
        <w:spacing w:after="120" w:line="276" w:lineRule="auto"/>
      </w:pPr>
      <w:r>
        <w:t xml:space="preserve">Casi todos los psicodélicos “clásicos” derivan de un </w:t>
      </w:r>
      <w:r>
        <w:rPr>
          <w:b/>
          <w:bCs/>
        </w:rPr>
        <w:t>farmacóforo básico</w:t>
      </w:r>
      <w:r>
        <w:t xml:space="preserve"> (la parte de la molécula responsable del efecto) y se agrupan en:</w:t>
      </w:r>
    </w:p>
    <w:p w14:paraId="0420D94E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Triptaminas </w:t>
      </w:r>
      <w:r>
        <w:t>(estructura indólica, derivan del triptófano → como la serotonina): DMT, psilocina/psilocibina, bufotenina, 5-MeO-DMT, 4-AcO-DMT.</w:t>
      </w:r>
    </w:p>
    <w:p w14:paraId="0420D94F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Ergolinas </w:t>
      </w:r>
      <w:r>
        <w:t>(derivados del ácido lisérgico): LSD,</w:t>
      </w:r>
      <w:r>
        <w:t xml:space="preserve"> 1P-LSD.</w:t>
      </w:r>
    </w:p>
    <w:p w14:paraId="0420D950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Fenetilaminas </w:t>
      </w:r>
      <w:r>
        <w:t>(relacionadas con dopamina/anfetaminas): mescalina, la familia 2C (2C-I, 2C-B), 25I-NBOMe, DOI.</w:t>
      </w:r>
    </w:p>
    <w:p w14:paraId="0420D951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4" wp14:editId="0420DAD5">
            <wp:extent cx="5334000" cy="3933825"/>
            <wp:effectExtent l="0" t="0" r="0" b="0"/>
            <wp:docPr id="5" name="fig_13" descr="Figura 5. Las tres grandes familias químicas y su farmacóforo básico: triptaminas, ergolinas y fenetilamina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52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5. Las tres grandes familias químicas y su farmacóforo básico: triptaminas, ergolinas y fenetilaminas.</w:t>
      </w:r>
    </w:p>
    <w:p w14:paraId="0420D953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>Que las tr</w:t>
      </w:r>
      <w:r>
        <w:t xml:space="preserve">iptaminas y ergolinas se parezcan a la </w:t>
      </w:r>
      <w:r>
        <w:rPr>
          <w:b/>
          <w:bCs/>
        </w:rPr>
        <w:t>serotonina</w:t>
      </w:r>
      <w:r>
        <w:t xml:space="preserve"> explica por qué actúan sobre </w:t>
      </w:r>
      <w:r>
        <w:rPr>
          <w:b/>
          <w:bCs/>
        </w:rPr>
        <w:t>receptores serotoninérgicos (5-HT2A)</w:t>
      </w:r>
      <w:r>
        <w:t xml:space="preserve"> — el mecanismo central de la Parte 4.</w:t>
      </w:r>
    </w:p>
    <w:p w14:paraId="0420D954" w14:textId="77777777" w:rsidR="00375EC4" w:rsidRDefault="009A6FCC">
      <w:pPr>
        <w:pStyle w:val="Ttulo1"/>
      </w:pPr>
      <w:bookmarkStart w:id="11" w:name="_Toc233655031"/>
      <w:r>
        <w:t>Parte 3 — ¿Qué hacen? Los efectos</w:t>
      </w:r>
      <w:bookmarkEnd w:id="11"/>
    </w:p>
    <w:p w14:paraId="0420D955" w14:textId="77777777" w:rsidR="00375EC4" w:rsidRDefault="009A6FCC">
      <w:pPr>
        <w:pStyle w:val="Ttulo2"/>
      </w:pPr>
      <w:bookmarkStart w:id="12" w:name="_Toc233655032"/>
      <w:r>
        <w:t>3.1 Cuatro dimensiones de efecto</w:t>
      </w:r>
      <w:bookmarkEnd w:id="12"/>
    </w:p>
    <w:p w14:paraId="0420D956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Perceptuales: </w:t>
      </w:r>
      <w:r>
        <w:t>distorsiones visuales (colores intensos, patrones geométricos, “respiración” de los objetos), sinestesias, alteración del sentido del tiempo.</w:t>
      </w:r>
    </w:p>
    <w:p w14:paraId="0420D957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Afectivos: </w:t>
      </w:r>
      <w:r>
        <w:t>cambios emocionales intensos, euforia, ansiedad, sensación oceánica/de unión.</w:t>
      </w:r>
    </w:p>
    <w:p w14:paraId="0420D95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Cognitivos: </w:t>
      </w:r>
      <w:r>
        <w:t>pensamiento a</w:t>
      </w:r>
      <w:r>
        <w:t>sociativo, cambios en la sensación de significado, insights.</w:t>
      </w:r>
    </w:p>
    <w:p w14:paraId="0420D95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Somáticos: </w:t>
      </w:r>
      <w:r>
        <w:t>efectos corporales (náuseas, cambios cardiovasculares, temblor, etc.).</w:t>
      </w:r>
    </w:p>
    <w:p w14:paraId="0420D95A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6" wp14:editId="0420DAD7">
            <wp:extent cx="5334000" cy="3000375"/>
            <wp:effectExtent l="0" t="0" r="0" b="0"/>
            <wp:docPr id="6" name="fig_14" descr="Figura 6. Efectos perceptuales: distorsiones del tipo “DeepDream”, donde el sistema visual “ve patrones” donde no los hay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5B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 xml:space="preserve">Figura 6. Efectos perceptuales: distorsiones del tipo “DeepDream”, donde el sistema visual “ve patrones” donde </w:t>
      </w:r>
      <w:r>
        <w:rPr>
          <w:i/>
          <w:iCs/>
          <w:color w:val="595959"/>
          <w:sz w:val="18"/>
          <w:szCs w:val="18"/>
        </w:rPr>
        <w:t>no los hay.</w:t>
      </w:r>
    </w:p>
    <w:p w14:paraId="0420D95C" w14:textId="77777777" w:rsidR="00375EC4" w:rsidRDefault="009A6FCC">
      <w:pPr>
        <w:pStyle w:val="Ttulo2"/>
      </w:pPr>
      <w:bookmarkStart w:id="13" w:name="_Toc233655033"/>
      <w:r>
        <w:t>3.2 La disolución del yo (self-loss / ego dissolution)</w:t>
      </w:r>
      <w:bookmarkEnd w:id="13"/>
    </w:p>
    <w:p w14:paraId="0420D95D" w14:textId="77777777" w:rsidR="00375EC4" w:rsidRDefault="009A6FCC">
      <w:pPr>
        <w:spacing w:after="120" w:line="276" w:lineRule="auto"/>
      </w:pPr>
      <w:r>
        <w:t>Un efecto central y muy estudiado. La clase lo compara con la meditación usando dos ejes:</w:t>
      </w:r>
    </w:p>
    <w:p w14:paraId="0420D95E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NSC = </w:t>
      </w:r>
      <w:r>
        <w:t xml:space="preserve">aspectos </w:t>
      </w:r>
      <w:r>
        <w:rPr>
          <w:i/>
          <w:iCs/>
        </w:rPr>
        <w:t>narrativos</w:t>
      </w:r>
      <w:r>
        <w:t xml:space="preserve"> de la autoconciencia (el “yo biográfico”, recuerdos, viaje mental en el t</w:t>
      </w:r>
      <w:r>
        <w:t>iempo).</w:t>
      </w:r>
    </w:p>
    <w:p w14:paraId="0420D95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MSC = </w:t>
      </w:r>
      <w:r>
        <w:t xml:space="preserve">aspectos </w:t>
      </w:r>
      <w:r>
        <w:rPr>
          <w:i/>
          <w:iCs/>
        </w:rPr>
        <w:t>multisensoriales</w:t>
      </w:r>
      <w:r>
        <w:t xml:space="preserve"> de la autoconciencia (sentir el cuerpo como propio, ubicación del yo en el espacio).</w:t>
      </w:r>
    </w:p>
    <w:p w14:paraId="0420D960" w14:textId="77777777" w:rsidR="00375EC4" w:rsidRDefault="009A6FCC">
      <w:pPr>
        <w:spacing w:after="120" w:line="276" w:lineRule="auto"/>
      </w:pPr>
      <w:r>
        <w:t>Tipos de pérdida del yo:</w:t>
      </w:r>
    </w:p>
    <w:p w14:paraId="0420D961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Pérdida narrativa: </w:t>
      </w:r>
      <w:r>
        <w:t>se reduce el acceso a información autobiográfica y los pensamientos sobre uno mismo.</w:t>
      </w:r>
    </w:p>
    <w:p w14:paraId="0420D962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Pérdida multisensorial: </w:t>
      </w:r>
      <w:r>
        <w:t>se pierde la propiedad del cuerpo (body ownership), la conciencia corporal y la ubicación del self.</w:t>
      </w:r>
    </w:p>
    <w:p w14:paraId="0420D963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Pérdida total: </w:t>
      </w:r>
      <w:r>
        <w:t>ambas a la vez (la “experiencia oceánica”).</w:t>
      </w:r>
    </w:p>
    <w:p w14:paraId="0420D964" w14:textId="77777777" w:rsidR="00375EC4" w:rsidRDefault="00375EC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00"/>
        <w:gridCol w:w="3000"/>
      </w:tblGrid>
      <w:tr w:rsidR="00375EC4" w14:paraId="0420D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5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Dimensión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6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Pérdida en psicodélicos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7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Pérdida en meditación</w:t>
            </w:r>
          </w:p>
        </w:tc>
      </w:tr>
      <w:tr w:rsidR="00375EC4" w14:paraId="0420D96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9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Propiedad del cuerpo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A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muy marcada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B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muy marcada</w:t>
            </w:r>
          </w:p>
        </w:tc>
      </w:tr>
      <w:tr w:rsidR="00375EC4" w14:paraId="0420D97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D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Conciencia corporal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E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muy marcada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6F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moderada</w:t>
            </w:r>
          </w:p>
        </w:tc>
      </w:tr>
      <w:tr w:rsidR="00375EC4" w14:paraId="0420D97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1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Ubicación del self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2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muy marcada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3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muy marcada</w:t>
            </w:r>
          </w:p>
        </w:tc>
      </w:tr>
      <w:tr w:rsidR="00375EC4" w14:paraId="0420D97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5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Riqueza fenoménica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6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aumenta</w:t>
            </w:r>
            <w:r>
              <w:t xml:space="preserve"> (excepto 5-MeO-DMT)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7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disminuye</w:t>
            </w:r>
          </w:p>
        </w:tc>
      </w:tr>
      <w:tr w:rsidR="00375EC4" w14:paraId="0420D97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9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Pensamientos sobre el self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A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disminuyen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B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disminuyen mucho</w:t>
            </w:r>
          </w:p>
        </w:tc>
      </w:tr>
      <w:tr w:rsidR="00375EC4" w14:paraId="0420D98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D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Acceso a info. autobiográfica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E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disminuye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7F" w14:textId="77777777" w:rsidR="00375EC4" w:rsidRDefault="009A6FCC">
            <w:pPr>
              <w:spacing w:line="248" w:lineRule="auto"/>
            </w:pPr>
            <w:r>
              <w:rPr>
                <w:sz w:val="19"/>
                <w:szCs w:val="19"/>
              </w:rPr>
              <w:t>disminuye (leve)</w:t>
            </w:r>
          </w:p>
        </w:tc>
      </w:tr>
    </w:tbl>
    <w:p w14:paraId="0420D981" w14:textId="77777777" w:rsidR="00375EC4" w:rsidRDefault="00375EC4">
      <w:pPr>
        <w:spacing w:after="60"/>
      </w:pPr>
    </w:p>
    <w:p w14:paraId="0420D982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8" wp14:editId="0420DAD9">
            <wp:extent cx="5334000" cy="3105150"/>
            <wp:effectExtent l="0" t="0" r="0" b="0"/>
            <wp:docPr id="7" name="fig_16" descr="Figura 7. Disolución del yo: comparación psicodélicos vs. meditación a lo largo de las dimensiones narrativa (NSC) y multisensorial (MSC) de la autoconciencia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83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7. Disolución del yo: comparación psicodélicos vs. meditación a lo largo de las dimensiones narrativa (NSC) y multisensorial (MSC) de la autoconciencia.</w:t>
      </w:r>
    </w:p>
    <w:p w14:paraId="0420D984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En psicodélicos la pérdida del yo viene con </w:t>
      </w:r>
      <w:r>
        <w:rPr>
          <w:b/>
          <w:bCs/>
        </w:rPr>
        <w:t>más</w:t>
      </w:r>
      <w:r>
        <w:t xml:space="preserve"> contenido experiencial (visiones,</w:t>
      </w:r>
      <w:r>
        <w:t xml:space="preserve"> intensidad); en meditación, con </w:t>
      </w:r>
      <w:r>
        <w:rPr>
          <w:b/>
          <w:bCs/>
        </w:rPr>
        <w:t>menos</w:t>
      </w:r>
      <w:r>
        <w:t xml:space="preserve"> (vaciamiento, silencio). Misma “disolución del yo”, fenomenología opuesta.</w:t>
      </w:r>
    </w:p>
    <w:p w14:paraId="0420D985" w14:textId="77777777" w:rsidR="00375EC4" w:rsidRDefault="009A6FCC">
      <w:pPr>
        <w:pStyle w:val="Ttulo2"/>
      </w:pPr>
      <w:bookmarkStart w:id="14" w:name="_Toc233655034"/>
      <w:r>
        <w:t>3.3 Por qué interesan a la neurociencia: plasticidad</w:t>
      </w:r>
      <w:bookmarkEnd w:id="14"/>
    </w:p>
    <w:p w14:paraId="0420D986" w14:textId="77777777" w:rsidR="00375EC4" w:rsidRDefault="009A6FCC">
      <w:pPr>
        <w:spacing w:after="120" w:line="276" w:lineRule="auto"/>
      </w:pPr>
      <w:r>
        <w:t>Papers recientes apuntan a un mecanismo común: los psicodélicos promueven neuroplasticida</w:t>
      </w:r>
      <w:r>
        <w:t>d. Líneas de evidencia:</w:t>
      </w:r>
    </w:p>
    <w:p w14:paraId="0420D987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Promueven plasticidad uniéndose </w:t>
      </w:r>
      <w:r>
        <w:rPr>
          <w:b/>
          <w:bCs/>
        </w:rPr>
        <w:t>directamente al receptor TrkB del BDNF</w:t>
      </w:r>
      <w:r>
        <w:t xml:space="preserve"> (factor neurotrófico).</w:t>
      </w:r>
    </w:p>
    <w:p w14:paraId="0420D98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Promueven neuroplasticidad vía </w:t>
      </w:r>
      <w:r>
        <w:rPr>
          <w:b/>
          <w:bCs/>
        </w:rPr>
        <w:t>activación de receptores 5-HT2A intracelulares</w:t>
      </w:r>
      <w:r>
        <w:t>.</w:t>
      </w:r>
    </w:p>
    <w:p w14:paraId="0420D98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Reabren “períodos críticos”</w:t>
      </w:r>
      <w:r>
        <w:t xml:space="preserve"> de aprendizaje (p. ej. de recompensa social), normalmente cerrados en el adulto.</w:t>
      </w:r>
    </w:p>
    <w:p w14:paraId="0420D98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Posible rol en </w:t>
      </w:r>
      <w:r>
        <w:rPr>
          <w:b/>
          <w:bCs/>
        </w:rPr>
        <w:t>neuroinflamación</w:t>
      </w:r>
      <w:r>
        <w:t>.</w:t>
      </w:r>
    </w:p>
    <w:p w14:paraId="0420D98B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Debate abierto: </w:t>
      </w:r>
      <w:r>
        <w:t>¿son necesarios los efectos subjetivos (el “viaje”) para el efecto terapéutico, o bastaría la plasticidad molecular?</w:t>
      </w:r>
    </w:p>
    <w:p w14:paraId="0420D98C" w14:textId="77777777" w:rsidR="00375EC4" w:rsidRDefault="009A6FCC">
      <w:pPr>
        <w:pStyle w:val="Ttulo2"/>
      </w:pPr>
      <w:bookmarkStart w:id="15" w:name="_Toc233655035"/>
      <w:r>
        <w:t>3.4 Seguridad: ¿son peligrosos?</w:t>
      </w:r>
      <w:bookmarkEnd w:id="15"/>
    </w:p>
    <w:p w14:paraId="0420D98D" w14:textId="77777777" w:rsidR="00375EC4" w:rsidRDefault="009A6FCC">
      <w:pPr>
        <w:spacing w:after="120" w:line="276" w:lineRule="auto"/>
      </w:pPr>
      <w:r>
        <w:t>Una revisión sistemática y metaanálisis de eventos adversos con psicodélicos clásicos concluyó, en general:</w:t>
      </w:r>
    </w:p>
    <w:p w14:paraId="0420D98E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En entornos clínicos/de investigación, fueron </w:t>
      </w:r>
      <w:r>
        <w:rPr>
          <w:b/>
          <w:bCs/>
        </w:rPr>
        <w:t>en general bien tolerados</w:t>
      </w:r>
      <w:r>
        <w:t>.</w:t>
      </w:r>
    </w:p>
    <w:p w14:paraId="0420D98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Los eventos adversos </w:t>
      </w:r>
      <w:r>
        <w:rPr>
          <w:b/>
          <w:bCs/>
        </w:rPr>
        <w:t>graves</w:t>
      </w:r>
      <w:r>
        <w:t xml:space="preserve"> fueron </w:t>
      </w:r>
      <w:r>
        <w:rPr>
          <w:b/>
          <w:bCs/>
        </w:rPr>
        <w:t>raros</w:t>
      </w:r>
      <w:r>
        <w:t xml:space="preserve"> y se concentraron en personas con trastornos neuropsiquiátricos previos (empeoramiento de depresión, conducta suicida, psicosis, convulsiones</w:t>
      </w:r>
      <w:r>
        <w:t>).</w:t>
      </w:r>
    </w:p>
    <w:p w14:paraId="0420D990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>En participantes sanos no se reportaron muertes ni psicosis persistentes en esos contextos.</w:t>
      </w:r>
    </w:p>
    <w:p w14:paraId="0420D991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Pero: </w:t>
      </w:r>
      <w:r>
        <w:t>hay mucha heterogeneidad en cómo se monitorean y reportan los efectos; los eventos del uso recreativo aún no se reflejan bien en ensayos. Se necesita más f</w:t>
      </w:r>
      <w:r>
        <w:t>armacovigilancia.</w:t>
      </w:r>
    </w:p>
    <w:p w14:paraId="0420D992" w14:textId="77777777" w:rsidR="00375EC4" w:rsidRDefault="009A6FCC">
      <w:pPr>
        <w:pBdr>
          <w:left w:val="single" w:sz="18" w:space="10" w:color="C9921F"/>
        </w:pBdr>
        <w:shd w:val="clear" w:color="auto" w:fill="FCF3E3"/>
        <w:spacing w:before="80" w:after="170" w:line="276" w:lineRule="auto"/>
        <w:ind w:left="170" w:right="90"/>
      </w:pPr>
      <w:r>
        <w:rPr>
          <w:b/>
          <w:bCs/>
          <w:color w:val="C9921F"/>
        </w:rPr>
        <w:t>⚠</w:t>
      </w:r>
      <w:r>
        <w:rPr>
          <w:b/>
          <w:bCs/>
          <w:color w:val="C9921F"/>
        </w:rPr>
        <w:t xml:space="preserve"> ATENCIÓN   </w:t>
      </w:r>
      <w:r>
        <w:t xml:space="preserve">“Bien tolerado en un ensayo controlado” </w:t>
      </w:r>
      <w:r>
        <w:rPr>
          <w:b/>
          <w:bCs/>
        </w:rPr>
        <w:t>≠</w:t>
      </w:r>
      <w:r>
        <w:t xml:space="preserve"> “seguro en cualquier contexto”. El </w:t>
      </w:r>
      <w:r>
        <w:rPr>
          <w:b/>
          <w:bCs/>
        </w:rPr>
        <w:t>setting</w:t>
      </w:r>
      <w:r>
        <w:t xml:space="preserve"> (entorno) y el </w:t>
      </w:r>
      <w:r>
        <w:rPr>
          <w:b/>
          <w:bCs/>
        </w:rPr>
        <w:t>screening</w:t>
      </w:r>
      <w:r>
        <w:t xml:space="preserve"> (selección de participantes) hacen una diferencia enorme.</w:t>
      </w:r>
    </w:p>
    <w:p w14:paraId="0420D993" w14:textId="77777777" w:rsidR="00375EC4" w:rsidRDefault="009A6FCC">
      <w:pPr>
        <w:pStyle w:val="Ttulo1"/>
      </w:pPr>
      <w:bookmarkStart w:id="16" w:name="_Toc233655036"/>
      <w:r>
        <w:t>Parte 4 — ¿Cómo lo hacen? Farmacología</w:t>
      </w:r>
      <w:bookmarkEnd w:id="16"/>
    </w:p>
    <w:p w14:paraId="0420D994" w14:textId="77777777" w:rsidR="00375EC4" w:rsidRDefault="009A6FCC">
      <w:pPr>
        <w:spacing w:after="120" w:line="276" w:lineRule="auto"/>
      </w:pPr>
      <w:r>
        <w:t>Esta es la sección</w:t>
      </w:r>
      <w:r>
        <w:t xml:space="preserve"> más “dura” y la que conviene dominar para el parcial. Va de lo general (cómo actúa </w:t>
      </w:r>
      <w:r>
        <w:rPr>
          <w:i/>
          <w:iCs/>
        </w:rPr>
        <w:t>cualquier</w:t>
      </w:r>
      <w:r>
        <w:t xml:space="preserve"> fármaco en una sinapsis) a lo específico (qué hace </w:t>
      </w:r>
      <w:r>
        <w:rPr>
          <w:i/>
          <w:iCs/>
        </w:rPr>
        <w:t>cada</w:t>
      </w:r>
      <w:r>
        <w:t xml:space="preserve"> psicodélico).</w:t>
      </w:r>
    </w:p>
    <w:p w14:paraId="0420D995" w14:textId="77777777" w:rsidR="00375EC4" w:rsidRDefault="009A6FCC">
      <w:pPr>
        <w:pStyle w:val="Ttulo2"/>
      </w:pPr>
      <w:bookmarkStart w:id="17" w:name="_Toc233655037"/>
      <w:r>
        <w:t>4.1 Repaso: neurotransmisores</w:t>
      </w:r>
      <w:bookmarkEnd w:id="17"/>
    </w:p>
    <w:p w14:paraId="0420D996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Aminoácidos: </w:t>
      </w:r>
      <w:r>
        <w:t xml:space="preserve">GABA (principal inhibidor), glutamato (principal </w:t>
      </w:r>
      <w:r>
        <w:t>excitador), glicina, histamina.</w:t>
      </w:r>
    </w:p>
    <w:p w14:paraId="0420D997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Aminas: </w:t>
      </w:r>
      <w:r>
        <w:t>quaternarias → acetilcolina (ACh). Monoaminas → catecolaminas (noradrenalina, adrenalina, dopamina) e indolaminas (serotonina/5-HT, melatonina).</w:t>
      </w:r>
    </w:p>
    <w:p w14:paraId="0420D99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Neuropéptidos: </w:t>
      </w:r>
      <w:r>
        <w:t>opioides (encefalinas, endorfinas, dinorfinas), oxitocin</w:t>
      </w:r>
      <w:r>
        <w:t>a, sustancia P, CCK, vasopresina, NPY.</w:t>
      </w:r>
    </w:p>
    <w:p w14:paraId="0420D99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Gases: </w:t>
      </w:r>
      <w:r>
        <w:t>óxido nítrico, monóxido de carbono.</w:t>
      </w:r>
    </w:p>
    <w:p w14:paraId="0420D99A" w14:textId="77777777" w:rsidR="00375EC4" w:rsidRDefault="009A6FCC">
      <w:pPr>
        <w:pStyle w:val="Ttulo2"/>
      </w:pPr>
      <w:bookmarkStart w:id="18" w:name="_Toc233655038"/>
      <w:r>
        <w:t>4.2 Vías de neurotransmisión en el cerebro</w:t>
      </w:r>
      <w:bookmarkEnd w:id="18"/>
    </w:p>
    <w:p w14:paraId="0420D99B" w14:textId="77777777" w:rsidR="00375EC4" w:rsidRDefault="009A6FCC">
      <w:pPr>
        <w:spacing w:after="120" w:line="276" w:lineRule="auto"/>
      </w:pPr>
      <w:r>
        <w:t>Cuatro grandes sistemas nacen de núcleos pequeños y proyectan ampliamente (por eso un daño localizado afecta mucho):</w:t>
      </w:r>
    </w:p>
    <w:p w14:paraId="0420D99C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Colinérgico</w:t>
      </w:r>
      <w:r>
        <w:t xml:space="preserve"> (p</w:t>
      </w:r>
      <w:r>
        <w:t>rosencéfalo basal → corteza, amígdala, hipocampo).</w:t>
      </w:r>
    </w:p>
    <w:p w14:paraId="0420D99D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Dopaminérgico</w:t>
      </w:r>
      <w:r>
        <w:t xml:space="preserve"> (vía mesolímbica/mesocortical desde el VTA; vía nigroestriatal desde la sustancia nigra).</w:t>
      </w:r>
    </w:p>
    <w:p w14:paraId="0420D99E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Noradrenérgico</w:t>
      </w:r>
      <w:r>
        <w:t xml:space="preserve"> (locus coeruleus → todo el cerebro; función de alerta).</w:t>
      </w:r>
    </w:p>
    <w:p w14:paraId="0420D99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Serotoninérgico</w:t>
      </w:r>
      <w:r>
        <w:t xml:space="preserve"> (núcleos del rafe → corteza y médula). </w:t>
      </w:r>
      <w:r>
        <w:rPr>
          <w:i/>
          <w:iCs/>
        </w:rPr>
        <w:t>El más relevante para psicodélicos.</w:t>
      </w:r>
    </w:p>
    <w:p w14:paraId="0420D9A0" w14:textId="77777777" w:rsidR="00375EC4" w:rsidRDefault="009A6FCC">
      <w:pPr>
        <w:pStyle w:val="Ttulo2"/>
      </w:pPr>
      <w:bookmarkStart w:id="19" w:name="_Toc233655039"/>
      <w:r>
        <w:t>4.3 Conceptos farmacológicos esenciales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75EC4" w14:paraId="0420D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1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2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375EC4" w14:paraId="0420D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4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Ligando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5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Sustancia que se une a un receptor o molécula (un neurotransmisor o un fármaco).</w:t>
            </w:r>
          </w:p>
        </w:tc>
      </w:tr>
      <w:tr w:rsidR="00375EC4" w14:paraId="0420D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7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Agonista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8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Imita o potencia la acción del transmisor.</w:t>
            </w:r>
          </w:p>
        </w:tc>
      </w:tr>
      <w:tr w:rsidR="00375EC4" w14:paraId="0420D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A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Antagonista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B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Bloquea o atenúa la acción del transmisor.</w:t>
            </w:r>
          </w:p>
        </w:tc>
      </w:tr>
      <w:tr w:rsidR="00375EC4" w14:paraId="0420D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D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Agonista parcial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AE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Se une al receptor pero produce un efecto menor que el ligando endógeno.</w:t>
            </w:r>
          </w:p>
        </w:tc>
      </w:tr>
    </w:tbl>
    <w:p w14:paraId="0420D9B0" w14:textId="77777777" w:rsidR="00375EC4" w:rsidRDefault="00375EC4">
      <w:pPr>
        <w:spacing w:after="40"/>
      </w:pPr>
    </w:p>
    <w:p w14:paraId="0420D9B1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Tipos de receptor: </w:t>
      </w:r>
    </w:p>
    <w:p w14:paraId="0420D9B2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Ionotrópicos: </w:t>
      </w:r>
      <w:r>
        <w:t xml:space="preserve">el receptor </w:t>
      </w:r>
      <w:r>
        <w:rPr>
          <w:i/>
          <w:iCs/>
        </w:rPr>
        <w:t>es</w:t>
      </w:r>
      <w:r>
        <w:t xml:space="preserve"> un canal iónico → respuesta </w:t>
      </w:r>
      <w:r>
        <w:rPr>
          <w:b/>
          <w:bCs/>
        </w:rPr>
        <w:t>rápida</w:t>
      </w:r>
      <w:r>
        <w:t xml:space="preserve"> (AMPA/NMDA para glutamato; GABA</w:t>
      </w:r>
      <w:r>
        <w:rPr>
          <w:vertAlign w:val="subscript"/>
        </w:rPr>
        <w:t>A</w:t>
      </w:r>
      <w:r>
        <w:t>; nicotínicos de ACh).</w:t>
      </w:r>
    </w:p>
    <w:p w14:paraId="0420D9B3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Metabotrópicos: </w:t>
      </w:r>
      <w:r>
        <w:t xml:space="preserve">acoplados a </w:t>
      </w:r>
      <w:r>
        <w:rPr>
          <w:b/>
          <w:bCs/>
        </w:rPr>
        <w:t>proteína G</w:t>
      </w:r>
      <w:r>
        <w:t xml:space="preserve"> → activan segundos mensajeros → respuesta </w:t>
      </w:r>
      <w:r>
        <w:rPr>
          <w:b/>
          <w:bCs/>
        </w:rPr>
        <w:t>lenta y modulatoria</w:t>
      </w:r>
      <w:r>
        <w:t xml:space="preserve"> (GABA</w:t>
      </w:r>
      <w:r>
        <w:rPr>
          <w:vertAlign w:val="subscript"/>
        </w:rPr>
        <w:t>B</w:t>
      </w:r>
      <w:r>
        <w:t xml:space="preserve">; muscarínicos; dopamina D1–D5; </w:t>
      </w:r>
      <w:r>
        <w:rPr>
          <w:b/>
          <w:bCs/>
        </w:rPr>
        <w:t>los 5-HT2</w:t>
      </w:r>
      <w:r>
        <w:t xml:space="preserve"> sobre los que actúan los psicodélicos).</w:t>
      </w:r>
    </w:p>
    <w:p w14:paraId="0420D9B4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A" wp14:editId="0420DADB">
            <wp:extent cx="5334000" cy="2686050"/>
            <wp:effectExtent l="0" t="0" r="0" b="0"/>
            <wp:docPr id="8" name="fig_21" descr="Figura 8. Receptores ionotrópicos vs. metabotrópicos y conceptos de ligando, agonista, antagonista y agonista parcial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B5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8. Receptores ionotrópicos vs. metabotrópicos y conceptos de ligando, agonista, antago</w:t>
      </w:r>
      <w:r>
        <w:rPr>
          <w:i/>
          <w:iCs/>
          <w:color w:val="595959"/>
          <w:sz w:val="18"/>
          <w:szCs w:val="18"/>
        </w:rPr>
        <w:t>nista y agonista parcial.</w:t>
      </w:r>
    </w:p>
    <w:p w14:paraId="0420D9B6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C" wp14:editId="0420DADD">
            <wp:extent cx="5334000" cy="2638425"/>
            <wp:effectExtent l="0" t="0" r="0" b="0"/>
            <wp:docPr id="9" name="fig_25" descr="Figura 9. Acción de fármacos sobre receptores: operación normal vs. receptor unido a un agonista o a un antagonista, en receptores ionotrópicos y metabotrópico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B7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9. Acción de fármacos sobre receptores: operación normal vs. receptor unido a un agonista o a un antagonista, en receptores ionotrópicos y metabotrópicos.</w:t>
      </w:r>
    </w:p>
    <w:p w14:paraId="0420D9B8" w14:textId="77777777" w:rsidR="00375EC4" w:rsidRDefault="009A6FCC">
      <w:pPr>
        <w:pStyle w:val="Ttulo2"/>
      </w:pPr>
      <w:bookmarkStart w:id="20" w:name="_Toc233655040"/>
      <w:r>
        <w:t>4.4 Vías de administración y velocidad de efecto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75EC4" w14:paraId="0420D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B9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Vía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BA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Velocidad típica</w:t>
            </w:r>
          </w:p>
        </w:tc>
      </w:tr>
      <w:tr w:rsidR="00375EC4" w14:paraId="0420D9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BC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Ingestión (oral)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BD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Lenta a moderada (depende de la digestión).</w:t>
            </w:r>
          </w:p>
        </w:tc>
      </w:tr>
      <w:tr w:rsidR="00375EC4" w14:paraId="0420D9C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BF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Inhalación (fumar, esnifar)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C0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Moderada a rápida (mucha vascularización en nariz/pulmón).</w:t>
            </w:r>
          </w:p>
        </w:tc>
      </w:tr>
      <w:tr w:rsidR="00375EC4" w14:paraId="0420D9C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C2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Inyección periférica (SC, IM, IV)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C3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Moderada a muy rápida (la IV es casi inmediata).</w:t>
            </w:r>
          </w:p>
        </w:tc>
      </w:tr>
      <w:tr w:rsidR="00375EC4" w14:paraId="0420D9C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C5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Inyección central (intratecal, intracerebral)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C6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Rápida a muy rápida (evita la barrera hematoencefálica).</w:t>
            </w:r>
          </w:p>
        </w:tc>
      </w:tr>
    </w:tbl>
    <w:p w14:paraId="0420D9C8" w14:textId="77777777" w:rsidR="00375EC4" w:rsidRDefault="00375EC4">
      <w:pPr>
        <w:spacing w:after="40"/>
      </w:pPr>
    </w:p>
    <w:p w14:paraId="0420D9C9" w14:textId="77777777" w:rsidR="00375EC4" w:rsidRDefault="009A6FCC">
      <w:pPr>
        <w:pStyle w:val="Ttulo2"/>
      </w:pPr>
      <w:bookmarkStart w:id="21" w:name="_Toc233655041"/>
      <w:r>
        <w:t>4.5 Curva dosis-respuesta e índice terapéutico</w:t>
      </w:r>
      <w:bookmarkEnd w:id="21"/>
    </w:p>
    <w:p w14:paraId="0420D9CA" w14:textId="77777777" w:rsidR="00375EC4" w:rsidRDefault="009A6FCC">
      <w:pPr>
        <w:spacing w:after="120" w:line="276" w:lineRule="auto"/>
      </w:pPr>
      <w:r>
        <w:t>Conceptos que siempre caen en evaluaciones:</w:t>
      </w:r>
    </w:p>
    <w:p w14:paraId="0420D9CB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Curva dosis-respuesta (DRC): </w:t>
      </w:r>
      <w:r>
        <w:t>grafica dosis crecientes (escala logarítmica) vs. intensidad de la respuesta. Tiene forma sigmoidea.</w:t>
      </w:r>
    </w:p>
    <w:p w14:paraId="0420D9CC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DE50 (dosis efectiva 50): </w:t>
      </w:r>
      <w:r>
        <w:t xml:space="preserve">dosis a la que el fármaco alcanza la mitad de su efecto </w:t>
      </w:r>
      <w:r>
        <w:t>máximo.</w:t>
      </w:r>
    </w:p>
    <w:p w14:paraId="0420D9CD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Potencia: </w:t>
      </w:r>
      <w:r>
        <w:t>depende de afinidad (qué tan bien se une) y eficacia (qué tan bien activa). Mayor potencia = menor DE50 (se necesita menos dosis).</w:t>
      </w:r>
    </w:p>
    <w:p w14:paraId="0420D9CE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DT50 / DL50: </w:t>
      </w:r>
      <w:r>
        <w:t>dosis a la que el 50% muestra toxicidad o muere.</w:t>
      </w:r>
    </w:p>
    <w:p w14:paraId="0420D9C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Índice terapéutico: </w:t>
      </w:r>
      <w:r>
        <w:t>separación entre dosis út</w:t>
      </w:r>
      <w:r>
        <w:t>il y peligrosa (relación DL50/DE50). Amplio = más seguro (lorazepam); estrecho = peligroso (fenobarbital).</w:t>
      </w:r>
    </w:p>
    <w:p w14:paraId="0420D9D0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DE" wp14:editId="0420DADF">
            <wp:extent cx="5334000" cy="2562225"/>
            <wp:effectExtent l="0" t="0" r="0" b="0"/>
            <wp:docPr id="10" name="fig_27" descr="Figura 10. Curva dosis-respuesta (DRC) e índice terapéutico. Comparación entre un fármaco de índice amplio (lorazepam) y uno estrecho (fenobarbital)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D1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10. Curva dosis-respuesta (DRC) e índice terapéutico. Comparación entre un fármaco de índice amplio (lorazepam) y uno estrecho (fenobarbital).</w:t>
      </w:r>
    </w:p>
    <w:p w14:paraId="0420D9D2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Un fármaco muy potente </w:t>
      </w:r>
      <w:r>
        <w:rPr>
          <w:b/>
          <w:bCs/>
        </w:rPr>
        <w:t>no</w:t>
      </w:r>
      <w:r>
        <w:t xml:space="preserve"> es necesariamente más seguro: lo que define la seguridad es el </w:t>
      </w:r>
      <w:r>
        <w:rPr>
          <w:b/>
          <w:bCs/>
        </w:rPr>
        <w:t>índice terapéutico</w:t>
      </w:r>
      <w:r>
        <w:t>, no la potencia.</w:t>
      </w:r>
    </w:p>
    <w:p w14:paraId="0420D9D3" w14:textId="77777777" w:rsidR="00375EC4" w:rsidRDefault="009A6FCC">
      <w:pPr>
        <w:pStyle w:val="Ttulo2"/>
      </w:pPr>
      <w:bookmarkStart w:id="22" w:name="_Toc233655042"/>
      <w:r>
        <w:t>4.6 Dónde puede actuar un fármaco en la sinapsis</w:t>
      </w:r>
      <w:bookmarkEnd w:id="22"/>
    </w:p>
    <w:p w14:paraId="0420D9D4" w14:textId="77777777" w:rsidR="00375EC4" w:rsidRDefault="009A6FCC">
      <w:pPr>
        <w:spacing w:after="120" w:line="276" w:lineRule="auto"/>
      </w:pPr>
      <w:r>
        <w:t>Un fármaco puede intervenir en muchos puntos del ciclo del neurotransmisor:</w:t>
      </w:r>
    </w:p>
    <w:p w14:paraId="0420D9D5" w14:textId="77777777" w:rsidR="00375EC4" w:rsidRDefault="009A6FCC">
      <w:pPr>
        <w:spacing w:after="120" w:line="276" w:lineRule="auto"/>
      </w:pPr>
      <w:r>
        <w:rPr>
          <w:b/>
          <w:bCs/>
        </w:rPr>
        <w:t>Producción / almacenamiento (pr</w:t>
      </w:r>
      <w:r>
        <w:rPr>
          <w:b/>
          <w:bCs/>
        </w:rPr>
        <w:t xml:space="preserve">esináptico): </w:t>
      </w:r>
    </w:p>
    <w:p w14:paraId="0420D9D6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>Inhibir la síntesis del transmisor; bloquear el transporte axonal; interferir con el almacenamiento en vesículas (reserpina).</w:t>
      </w:r>
    </w:p>
    <w:p w14:paraId="0420D9D7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Liberación: </w:t>
      </w:r>
    </w:p>
    <w:p w14:paraId="0420D9D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>Bloquear la transmisión (tetrodotoxina bloquea canales de Na⁺); modular vía calcio (anfetamina estimula</w:t>
      </w:r>
      <w:r>
        <w:t xml:space="preserve"> la liberación; toxina botulínica la impide).</w:t>
      </w:r>
    </w:p>
    <w:p w14:paraId="0420D9D9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Eliminación (clearance): </w:t>
      </w:r>
    </w:p>
    <w:p w14:paraId="0420D9D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Inhibir la </w:t>
      </w:r>
      <w:r>
        <w:rPr>
          <w:b/>
          <w:bCs/>
        </w:rPr>
        <w:t>recaptación</w:t>
      </w:r>
      <w:r>
        <w:t xml:space="preserve"> (cocaína, anfetamina, ISRS) → el transmisor queda más tiempo; bloquear la </w:t>
      </w:r>
      <w:r>
        <w:rPr>
          <w:b/>
          <w:bCs/>
        </w:rPr>
        <w:t>degradación</w:t>
      </w:r>
      <w:r>
        <w:t xml:space="preserve"> (inhibidores de la MAO → más monoaminas). Relevante para </w:t>
      </w:r>
      <w:r>
        <w:rPr>
          <w:b/>
          <w:bCs/>
        </w:rPr>
        <w:t>ayahuasca</w:t>
      </w:r>
      <w:r>
        <w:t>: combina</w:t>
      </w:r>
      <w:r>
        <w:t xml:space="preserve"> DMT con inhibidores de MAO para que el DMT oral sea activo.</w:t>
      </w:r>
    </w:p>
    <w:p w14:paraId="0420D9DB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Receptor / procesos celulares (postsináptico): </w:t>
      </w:r>
    </w:p>
    <w:p w14:paraId="0420D9DC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Bloqueo (haloperidol bloquea dopamina); </w:t>
      </w:r>
      <w:r>
        <w:rPr>
          <w:b/>
          <w:bCs/>
        </w:rPr>
        <w:t>activación</w:t>
      </w:r>
      <w:r>
        <w:t xml:space="preserve"> (nicotina activa ACh; </w:t>
      </w:r>
      <w:r>
        <w:rPr>
          <w:b/>
          <w:bCs/>
        </w:rPr>
        <w:t>LSD es agonista de serotonina</w:t>
      </w:r>
      <w:r>
        <w:t>); cambiar el número de receptores (alcohol ↑</w:t>
      </w:r>
      <w:r>
        <w:t xml:space="preserve"> GABA); modular segundos mensajeros (litio inhibe AMPc).</w:t>
      </w:r>
    </w:p>
    <w:p w14:paraId="0420D9DD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0" wp14:editId="0420DAE1">
            <wp:extent cx="5334000" cy="2762250"/>
            <wp:effectExtent l="0" t="0" r="0" b="0"/>
            <wp:docPr id="11" name="fig_29" descr="Figura 11. Puntos de la sinapsis donde puede actuar un fármaco: síntesis, almacenamiento, liberación, recaptación, degradación y receptore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DE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11. Puntos de la sinapsis donde puede actuar un fármaco: síntesis, almacenamiento, liberación, recaptación, degradación y receptores.</w:t>
      </w:r>
    </w:p>
    <w:p w14:paraId="0420D9DF" w14:textId="77777777" w:rsidR="00375EC4" w:rsidRDefault="009A6FCC">
      <w:pPr>
        <w:pStyle w:val="Ttulo2"/>
      </w:pPr>
      <w:bookmarkStart w:id="23" w:name="_Toc233655043"/>
      <w:r>
        <w:t>4.7 Mecanismo específico de cada psicodélico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75EC4" w14:paraId="0420D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0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Sustancia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1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  <w:r>
              <w:rPr>
                <w:b/>
                <w:bCs/>
                <w:color w:val="FFFFFF"/>
                <w:sz w:val="20"/>
                <w:szCs w:val="20"/>
              </w:rPr>
              <w:t>cción principal en el cerebro</w:t>
            </w:r>
          </w:p>
        </w:tc>
      </w:tr>
      <w:tr w:rsidR="00375EC4" w14:paraId="0420D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3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Psilocibina / psilocina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4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Agonista parcial de receptores 5-HT, especialmente 5-HT2A (muy densos en corteza visual). Modifica corteza frontal y occipital.</w:t>
            </w:r>
          </w:p>
        </w:tc>
      </w:tr>
      <w:tr w:rsidR="00375EC4" w14:paraId="0420D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6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LSD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7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Activa muchos subtipos de receptores monoaminérgicos (DA y 5-HT) → hiperactividad cortical (frontal, cingulado, occipital).</w:t>
            </w:r>
          </w:p>
        </w:tc>
      </w:tr>
      <w:tr w:rsidR="00375EC4" w14:paraId="0420D9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9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Ketamina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A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Antagonista del receptor NMDA (glutamato); además estimula receptores opioides y de ACh.</w:t>
            </w:r>
          </w:p>
        </w:tc>
      </w:tr>
      <w:tr w:rsidR="00375EC4" w14:paraId="0420D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C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MDMA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ED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Libera monoaminas (serotonina, dopamina) y estimula la liberación de oxitocina (“hormona prosocial”).</w:t>
            </w:r>
          </w:p>
        </w:tc>
      </w:tr>
    </w:tbl>
    <w:p w14:paraId="0420D9EF" w14:textId="77777777" w:rsidR="00375EC4" w:rsidRDefault="00375EC4">
      <w:pPr>
        <w:spacing w:after="40"/>
      </w:pPr>
    </w:p>
    <w:p w14:paraId="0420D9F0" w14:textId="77777777" w:rsidR="00375EC4" w:rsidRDefault="009A6FCC">
      <w:pPr>
        <w:pStyle w:val="Ttulo2"/>
      </w:pPr>
      <w:bookmarkStart w:id="24" w:name="_Toc233655044"/>
      <w:r>
        <w:t>4.8 Polifarmacología: por qué los efectos son complejos</w:t>
      </w:r>
      <w:bookmarkEnd w:id="24"/>
    </w:p>
    <w:p w14:paraId="0420D9F1" w14:textId="77777777" w:rsidR="00375EC4" w:rsidRDefault="009A6FCC">
      <w:pPr>
        <w:spacing w:after="120" w:line="276" w:lineRule="auto"/>
      </w:pPr>
      <w:r>
        <w:t>Un mismo ligando psicodélico se une a muchos receptores a la vez, con consecuencias distintas según cuál active:</w:t>
      </w:r>
    </w:p>
    <w:p w14:paraId="0420D9F2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5-HT2A</w:t>
      </w:r>
      <w:r>
        <w:t xml:space="preserve"> → vinculado a la alucinación (señalización vía Gq y vía β-arrestina).</w:t>
      </w:r>
    </w:p>
    <w:p w14:paraId="0420D9F3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5-HT2B</w:t>
      </w:r>
      <w:r>
        <w:t xml:space="preserve"> → cuidado: su activación crónica se asocia a valvulopatía c</w:t>
      </w:r>
      <w:r>
        <w:t>ardíaca (importante para dosificación repetida).</w:t>
      </w:r>
    </w:p>
    <w:p w14:paraId="0420D9F4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t xml:space="preserve">También actúan sobre </w:t>
      </w:r>
      <w:r>
        <w:rPr>
          <w:b/>
          <w:bCs/>
        </w:rPr>
        <w:t>5-HT2C</w:t>
      </w:r>
      <w:r>
        <w:t xml:space="preserve">, receptores de </w:t>
      </w:r>
      <w:r>
        <w:rPr>
          <w:b/>
          <w:bCs/>
        </w:rPr>
        <w:t>dopamina</w:t>
      </w:r>
      <w:r>
        <w:t xml:space="preserve"> y </w:t>
      </w:r>
      <w:r>
        <w:rPr>
          <w:b/>
          <w:bCs/>
        </w:rPr>
        <w:t>adrenérgicos</w:t>
      </w:r>
      <w:r>
        <w:t xml:space="preserve"> (α y β).</w:t>
      </w:r>
    </w:p>
    <w:p w14:paraId="0420D9F5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2" wp14:editId="0420DAE3">
            <wp:extent cx="5334000" cy="4086225"/>
            <wp:effectExtent l="0" t="0" r="0" b="0"/>
            <wp:docPr id="12" name="fig_31" descr="Figura 12. Polifarmacología de los psicodélicos: un mismo ligando se une a múltiples subtipos de receptores (serotoninérgicos, dopaminérgicos, adrenérgicos)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F6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12. Polifarmacología de los psicodélicos: un mismo ligando se une a múltiples subtipos de receptores (serotoninérgicos, dopaminérgicos, adrenérgicos).</w:t>
      </w:r>
    </w:p>
    <w:p w14:paraId="0420D9F7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Distribución de receptores 5-HT2A: </w:t>
      </w:r>
      <w:r>
        <w:t xml:space="preserve">las imágenes de PET muestran que el 5-HT2A es muy denso en </w:t>
      </w:r>
      <w:r>
        <w:rPr>
          <w:b/>
          <w:bCs/>
        </w:rPr>
        <w:t>cort</w:t>
      </w:r>
      <w:r>
        <w:rPr>
          <w:b/>
          <w:bCs/>
        </w:rPr>
        <w:t>eza</w:t>
      </w:r>
      <w:r>
        <w:t xml:space="preserve"> (frontal, parietal, occipital, temporal) y escaso en regiones subcorticales — coherente con que los efectos sean sobre todo corticales/perceptuales-cognitivos.</w:t>
      </w:r>
    </w:p>
    <w:p w14:paraId="0420D9F8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4" wp14:editId="0420DAE5">
            <wp:extent cx="5334000" cy="2743200"/>
            <wp:effectExtent l="0" t="0" r="0" b="0"/>
            <wp:docPr id="13" name="fig_32" descr="Figura 13. Imagen PET de receptores 5-HT2A: alta densidad cortical, coherente con efectos perceptuales y cognitivo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F9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 xml:space="preserve">Figura 13. Imagen PET de receptores 5-HT2A: alta densidad cortical, coherente con efectos </w:t>
      </w:r>
      <w:r>
        <w:rPr>
          <w:i/>
          <w:iCs/>
          <w:color w:val="595959"/>
          <w:sz w:val="18"/>
          <w:szCs w:val="18"/>
        </w:rPr>
        <w:t>perceptuales y cognitivos.</w:t>
      </w:r>
    </w:p>
    <w:p w14:paraId="0420D9FA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No alcanza con decir “actúa sobre la serotonina”: el </w:t>
      </w:r>
      <w:r>
        <w:rPr>
          <w:b/>
          <w:bCs/>
        </w:rPr>
        <w:t>perfil de unión</w:t>
      </w:r>
      <w:r>
        <w:t xml:space="preserve"> a cada subtipo explica tanto los efectos buscados como los riesgos.</w:t>
      </w:r>
    </w:p>
    <w:p w14:paraId="0420D9FB" w14:textId="77777777" w:rsidR="00375EC4" w:rsidRDefault="009A6FCC">
      <w:pPr>
        <w:pStyle w:val="Ttulo2"/>
      </w:pPr>
      <w:bookmarkStart w:id="25" w:name="_Toc233655045"/>
      <w:r>
        <w:t>4.9 El caso de la ketamina: dosis y mecanismos profundos</w:t>
      </w:r>
      <w:bookmarkEnd w:id="25"/>
    </w:p>
    <w:p w14:paraId="0420D9FC" w14:textId="77777777" w:rsidR="00375EC4" w:rsidRDefault="009A6FCC">
      <w:pPr>
        <w:spacing w:after="120" w:line="276" w:lineRule="auto"/>
      </w:pPr>
      <w:r>
        <w:t>La ketamina ilustra cómo el mismo fármaco hace cosas distintas según la dosis: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5000"/>
      </w:tblGrid>
      <w:tr w:rsidR="00375EC4" w14:paraId="0420D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FD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Rango de dosis (aprox.)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9FE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Efecto</w:t>
            </w:r>
          </w:p>
        </w:tc>
      </w:tr>
      <w:tr w:rsidR="00375EC4" w14:paraId="0420DA02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0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~70–200 ng/mL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1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Antidepresivo</w:t>
            </w:r>
          </w:p>
        </w:tc>
      </w:tr>
      <w:tr w:rsidR="00375EC4" w14:paraId="0420DA05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3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~100–300 ng/mL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4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Analgesia</w:t>
            </w:r>
          </w:p>
        </w:tc>
      </w:tr>
      <w:tr w:rsidR="00375EC4" w14:paraId="0420DA08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6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~150–300 ng/mL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7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Recreacional</w:t>
            </w:r>
          </w:p>
        </w:tc>
      </w:tr>
      <w:tr w:rsidR="00375EC4" w14:paraId="0420DA0B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9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~200–300 ng/mL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A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Disociación parcial</w:t>
            </w:r>
          </w:p>
        </w:tc>
      </w:tr>
      <w:tr w:rsidR="00375EC4" w14:paraId="0420DA0E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C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~500–1000 ng/mL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D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Disociación</w:t>
            </w:r>
          </w:p>
        </w:tc>
      </w:tr>
      <w:tr w:rsidR="00375EC4" w14:paraId="0420DA11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0F" w14:textId="77777777" w:rsidR="00375EC4" w:rsidRDefault="009A6FCC">
            <w:pPr>
              <w:spacing w:line="248" w:lineRule="auto"/>
            </w:pPr>
            <w:r>
              <w:rPr>
                <w:sz w:val="20"/>
                <w:szCs w:val="20"/>
              </w:rPr>
              <w:t>&gt; 1000 ng/mL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10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Sobredosis / toxicidad</w:t>
            </w:r>
          </w:p>
        </w:tc>
      </w:tr>
    </w:tbl>
    <w:p w14:paraId="0420DA12" w14:textId="77777777" w:rsidR="00375EC4" w:rsidRDefault="00375EC4">
      <w:pPr>
        <w:spacing w:after="40"/>
      </w:pPr>
    </w:p>
    <w:p w14:paraId="0420DA13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Mecanismos más allá del NMDA: </w:t>
      </w:r>
      <w:r>
        <w:t xml:space="preserve">la ketamina llega al interior de la neurona y puede activar </w:t>
      </w:r>
      <w:r>
        <w:rPr>
          <w:b/>
          <w:bCs/>
        </w:rPr>
        <w:t>TrkB, AMPA, GPCRs</w:t>
      </w:r>
      <w:r>
        <w:t xml:space="preserve">, y producir </w:t>
      </w:r>
      <w:r>
        <w:rPr>
          <w:b/>
          <w:bCs/>
        </w:rPr>
        <w:t>modulación epigenética</w:t>
      </w:r>
      <w:r>
        <w:t xml:space="preserve"> (metilación, acetilación de histonas) que regula la expresión de genes diana → otra ruta hacia la plasticidad sostenida.</w:t>
      </w:r>
    </w:p>
    <w:p w14:paraId="0420DA14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6" wp14:editId="0420DAE7">
            <wp:extent cx="5334000" cy="2362200"/>
            <wp:effectExtent l="0" t="0" r="0" b="0"/>
            <wp:docPr id="14" name="fig_33" descr="Figura 14. Ketamina: efectos dosis-dependientes y mecanismos profundos (NMDA, TrkB, AMPA, modulación epigenética)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15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14. Ketamina:</w:t>
      </w:r>
      <w:r>
        <w:rPr>
          <w:i/>
          <w:iCs/>
          <w:color w:val="595959"/>
          <w:sz w:val="18"/>
          <w:szCs w:val="18"/>
        </w:rPr>
        <w:t xml:space="preserve"> efectos dosis-dependientes y mecanismos profundos (NMDA, TrkB, AMPA, modulación epigenética).</w:t>
      </w:r>
    </w:p>
    <w:p w14:paraId="0420DA16" w14:textId="77777777" w:rsidR="00375EC4" w:rsidRDefault="009A6FCC">
      <w:pPr>
        <w:pStyle w:val="Ttulo2"/>
      </w:pPr>
      <w:bookmarkStart w:id="26" w:name="_Toc233655046"/>
      <w:r>
        <w:t>4.10 Síntesis: psicodélicos y remodelación de circuitos</w:t>
      </w:r>
      <w:bookmarkEnd w:id="26"/>
    </w:p>
    <w:p w14:paraId="0420DA17" w14:textId="77777777" w:rsidR="00375EC4" w:rsidRDefault="009A6FCC">
      <w:pPr>
        <w:spacing w:after="120" w:line="276" w:lineRule="auto"/>
      </w:pPr>
      <w:r>
        <w:t>Distintos psicodélicos convergen en promover plasticidad vía diferentes “puertas de entrada”:</w:t>
      </w:r>
    </w:p>
    <w:p w14:paraId="0420DA1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MDMA</w:t>
      </w:r>
      <w:r>
        <w:t xml:space="preserve"> → tran</w:t>
      </w:r>
      <w:r>
        <w:t>sportador de serotonina (SERT).</w:t>
      </w:r>
    </w:p>
    <w:p w14:paraId="0420DA1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Psilocibina / LSD</w:t>
      </w:r>
      <w:r>
        <w:t xml:space="preserve"> → 5-HT2A (señalización por β-arrestina-2).</w:t>
      </w:r>
    </w:p>
    <w:p w14:paraId="0420DA1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Ketamina</w:t>
      </w:r>
      <w:r>
        <w:t xml:space="preserve"> → NMDAR.</w:t>
      </w:r>
    </w:p>
    <w:p w14:paraId="0420DA1B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Ibogaína</w:t>
      </w:r>
      <w:r>
        <w:t xml:space="preserve"> → receptor opioide κ (KOR).</w:t>
      </w:r>
    </w:p>
    <w:p w14:paraId="0420DA1C" w14:textId="77777777" w:rsidR="00375EC4" w:rsidRDefault="009A6FCC">
      <w:pPr>
        <w:spacing w:after="120" w:line="276" w:lineRule="auto"/>
      </w:pPr>
      <w:r>
        <w:t xml:space="preserve">Todos terminan influyendo sobre la </w:t>
      </w:r>
      <w:r>
        <w:rPr>
          <w:b/>
          <w:bCs/>
        </w:rPr>
        <w:t>expresión génica</w:t>
      </w:r>
      <w:r>
        <w:t xml:space="preserve"> y la </w:t>
      </w:r>
      <w:r>
        <w:rPr>
          <w:b/>
          <w:bCs/>
        </w:rPr>
        <w:t>remodelación de la matriz extracelular</w:t>
      </w:r>
      <w:r>
        <w:t xml:space="preserve"> (colágeno, fibronectina, integrinas, MMP-16), es decir, sobre la capacidad del cerebro de reconfigurar sus conexiones.</w:t>
      </w:r>
    </w:p>
    <w:p w14:paraId="0420DA1D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8" wp14:editId="0420DAE9">
            <wp:extent cx="5334000" cy="3600450"/>
            <wp:effectExtent l="0" t="0" r="0" b="0"/>
            <wp:docPr id="15" name="fig_34" descr="Figura 15. Síntesis: distintos psicodélicos convergen en promover plasticidad y remodelar circuitos vía diferentes “puertas de entrada”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1E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15. Síntesis: distintos psicodélicos convergen en promover plasticidad y remodelar circuitos vía diferentes “puertas de entrada”.</w:t>
      </w:r>
    </w:p>
    <w:p w14:paraId="0420DA1F" w14:textId="77777777" w:rsidR="00375EC4" w:rsidRDefault="009A6FCC">
      <w:pPr>
        <w:pStyle w:val="Ttulo1"/>
      </w:pPr>
      <w:bookmarkStart w:id="27" w:name="_Toc233655047"/>
      <w:r>
        <w:t>Parte 5 — ¿Para qué se usan? Usos recreativos vs. clínicos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63"/>
        <w:gridCol w:w="3563"/>
      </w:tblGrid>
      <w:tr w:rsidR="00375EC4" w14:paraId="0420DA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0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Sustancia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1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 recreativo (reporte típico)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2" w14:textId="77777777" w:rsidR="00375EC4" w:rsidRDefault="009A6FCC">
            <w:pPr>
              <w:spacing w:line="24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Posible aplicación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clínica (en investigación)</w:t>
            </w:r>
          </w:p>
        </w:tc>
      </w:tr>
      <w:tr w:rsidR="00375EC4" w14:paraId="0420DA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4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Psilocibina</w:t>
            </w:r>
            <w:r>
              <w:t xml:space="preserve"> (“shrooms”)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5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Experiencias espirituales, trascendencia, alteración del tiempo, visiones.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6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TOC, cefalea en racimos, depresión resistente, ansiedad (incl. cáncer terminal).</w:t>
            </w:r>
          </w:p>
        </w:tc>
      </w:tr>
      <w:tr w:rsidR="00375EC4" w14:paraId="0420DA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8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LSD</w:t>
            </w:r>
            <w:r>
              <w:t xml:space="preserve"> (“ácido”)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9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Cambios perceptuales intensos, colores, patrones geométricos, tiempo alterado.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A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Alcoholismo y otras adicciones; ansiedad debilitante.</w:t>
            </w:r>
          </w:p>
        </w:tc>
      </w:tr>
      <w:tr w:rsidR="00375EC4" w14:paraId="0420DA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C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Ketamina</w:t>
            </w:r>
            <w:r>
              <w:t xml:space="preserve"> (“Special K”)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D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Estado disociativo, “trance”.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2E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Antidepresivo rápido, incluso en casos resistentes.</w:t>
            </w:r>
          </w:p>
        </w:tc>
      </w:tr>
      <w:tr w:rsidR="00375EC4" w14:paraId="0420DA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30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MDMA</w:t>
            </w:r>
            <w:r>
              <w:t xml:space="preserve"> (“éxtasis”)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31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Empatía, sentimientos prosociales, euforia.</w:t>
            </w:r>
          </w:p>
        </w:tc>
        <w:tc>
          <w:tcPr>
            <w:tcW w:w="35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32" w14:textId="77777777" w:rsidR="00375EC4" w:rsidRDefault="009A6FCC">
            <w:pPr>
              <w:spacing w:line="248" w:lineRule="auto"/>
            </w:pPr>
            <w:r>
              <w:rPr>
                <w:sz w:val="18"/>
                <w:szCs w:val="18"/>
              </w:rPr>
              <w:t>TEPT (PTSD), combinado con psicoterapia (con cautela por seguridad).</w:t>
            </w:r>
          </w:p>
        </w:tc>
      </w:tr>
    </w:tbl>
    <w:p w14:paraId="0420DA34" w14:textId="77777777" w:rsidR="00375EC4" w:rsidRDefault="00375EC4">
      <w:pPr>
        <w:spacing w:after="60"/>
      </w:pPr>
    </w:p>
    <w:p w14:paraId="0420DA35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El patrón común: estados que el uso recreativo busca por placer/exploración, la clínica los investiga como </w:t>
      </w:r>
      <w:r>
        <w:rPr>
          <w:b/>
          <w:bCs/>
        </w:rPr>
        <w:t>herramientas terapéuticas en contextos controlados</w:t>
      </w:r>
      <w:r>
        <w:t xml:space="preserve">. La diferencia decisiva entre “droga de abuso” y “medicamento en estudio” es justamente </w:t>
      </w:r>
      <w:r>
        <w:rPr>
          <w:b/>
          <w:bCs/>
        </w:rPr>
        <w:t xml:space="preserve">el ensayo </w:t>
      </w:r>
      <w:r>
        <w:rPr>
          <w:b/>
          <w:bCs/>
        </w:rPr>
        <w:t>clínico</w:t>
      </w:r>
      <w:r>
        <w:t>.</w:t>
      </w:r>
    </w:p>
    <w:p w14:paraId="0420DA36" w14:textId="77777777" w:rsidR="00375EC4" w:rsidRDefault="009A6FCC">
      <w:pPr>
        <w:pStyle w:val="Ttulo1"/>
      </w:pPr>
      <w:bookmarkStart w:id="28" w:name="_Toc233655048"/>
      <w:r>
        <w:t>Parte 6 — Ensayos clínicos</w:t>
      </w:r>
      <w:bookmarkEnd w:id="28"/>
    </w:p>
    <w:p w14:paraId="0420DA37" w14:textId="77777777" w:rsidR="00375EC4" w:rsidRDefault="009A6FCC">
      <w:pPr>
        <w:pStyle w:val="Ttulo2"/>
      </w:pPr>
      <w:bookmarkStart w:id="29" w:name="_Toc233655049"/>
      <w:r>
        <w:t>6.1 ¿Qué es un buen estudio? Cinco atributos</w:t>
      </w:r>
      <w:bookmarkEnd w:id="29"/>
    </w:p>
    <w:p w14:paraId="0420DA38" w14:textId="77777777" w:rsidR="00375EC4" w:rsidRDefault="009A6FCC">
      <w:pPr>
        <w:spacing w:after="120" w:line="276" w:lineRule="auto"/>
      </w:pPr>
      <w:r>
        <w:t>Un ensayo clínico sólido es un estudio científico que idealmente es:</w:t>
      </w:r>
    </w:p>
    <w:p w14:paraId="0420DA3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Intervencionista: </w:t>
      </w:r>
      <w:r>
        <w:t>el investigador administra algo (no solo observa).</w:t>
      </w:r>
    </w:p>
    <w:p w14:paraId="0420DA3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Controlado: </w:t>
      </w:r>
      <w:r>
        <w:t>compara contra un grupo d</w:t>
      </w:r>
      <w:r>
        <w:t>e referencia (placebo o tratamiento estándar).</w:t>
      </w:r>
    </w:p>
    <w:p w14:paraId="0420DA3B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Aleatorizado: </w:t>
      </w:r>
      <w:r>
        <w:t>los participantes se asignan a los grupos al azar.</w:t>
      </w:r>
    </w:p>
    <w:p w14:paraId="0420DA3C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Enmascarado (ciego): </w:t>
      </w:r>
      <w:r>
        <w:t>quienes participan/evalúan no saben quién recibió qué.</w:t>
      </w:r>
    </w:p>
    <w:p w14:paraId="0420DA3D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Cada atributo neutraliza un sesgo distinto. Sin control no sabés si mejoró </w:t>
      </w:r>
      <w:r>
        <w:rPr>
          <w:i/>
          <w:iCs/>
        </w:rPr>
        <w:t>por</w:t>
      </w:r>
      <w:r>
        <w:t xml:space="preserve"> el fármaco; sin azar los grupos pueden ser distintos de entrada; sin ciego, las expectativas contaminan los resultados — especialmente delicado con psicodélicos, donde el “viaje</w:t>
      </w:r>
      <w:r>
        <w:t>” es evidente para el sujeto.</w:t>
      </w:r>
    </w:p>
    <w:p w14:paraId="0420DA3E" w14:textId="77777777" w:rsidR="00375EC4" w:rsidRDefault="009A6FCC">
      <w:pPr>
        <w:pStyle w:val="Ttulo2"/>
      </w:pPr>
      <w:bookmarkStart w:id="30" w:name="_Toc233655050"/>
      <w:r>
        <w:t>6.2 Consideraciones éticas</w:t>
      </w:r>
      <w:bookmarkEnd w:id="30"/>
    </w:p>
    <w:p w14:paraId="0420DA3F" w14:textId="77777777" w:rsidR="00375EC4" w:rsidRDefault="009A6FCC">
      <w:pPr>
        <w:spacing w:after="120" w:line="276" w:lineRule="auto"/>
      </w:pPr>
      <w:r>
        <w:t xml:space="preserve">La investigación con humanos se rige por principios éticos (sintetizados en el </w:t>
      </w:r>
      <w:r>
        <w:rPr>
          <w:b/>
          <w:bCs/>
        </w:rPr>
        <w:t>Informe Belmont</w:t>
      </w:r>
      <w:r>
        <w:t>, 1979: respeto por las personas, beneficencia, justicia). En la práctica:</w:t>
      </w:r>
    </w:p>
    <w:p w14:paraId="0420DA40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Necesidad de salud: </w:t>
      </w:r>
      <w:r>
        <w:t>debe haber</w:t>
      </w:r>
      <w:r>
        <w:t xml:space="preserve"> una pregunta clínica genuina.</w:t>
      </w:r>
    </w:p>
    <w:p w14:paraId="0420DA41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Riesgos no inaceptables: </w:t>
      </w:r>
      <w:r>
        <w:t>el riesgo debe ser proporcional al beneficio esperable.</w:t>
      </w:r>
    </w:p>
    <w:p w14:paraId="0420DA42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Información suficiente → consentimiento informado: </w:t>
      </w:r>
      <w:r>
        <w:t>el participante debe comprender y aceptar libremente.</w:t>
      </w:r>
    </w:p>
    <w:p w14:paraId="0420DA43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A" wp14:editId="0420DAEB">
            <wp:extent cx="5334000" cy="2276475"/>
            <wp:effectExtent l="0" t="0" r="0" b="0"/>
            <wp:docPr id="16" name="fig_38" descr="Figura 16. Consideraciones éticas (Informe Belmont): necesidad de salud, riesgos no inaceptables e información suficiente para el consentimiento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44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16. Consideraciones éticas (In</w:t>
      </w:r>
      <w:r>
        <w:rPr>
          <w:i/>
          <w:iCs/>
          <w:color w:val="595959"/>
          <w:sz w:val="18"/>
          <w:szCs w:val="18"/>
        </w:rPr>
        <w:t>forme Belmont): necesidad de salud, riesgos no inaceptables e información suficiente para el consentimiento.</w:t>
      </w:r>
    </w:p>
    <w:p w14:paraId="0420DA45" w14:textId="77777777" w:rsidR="00375EC4" w:rsidRDefault="009A6FCC">
      <w:pPr>
        <w:pStyle w:val="Ttulo2"/>
      </w:pPr>
      <w:bookmarkStart w:id="31" w:name="_Toc233655051"/>
      <w:r>
        <w:t>6.3 Poblaciones especiales</w:t>
      </w:r>
      <w:bookmarkEnd w:id="31"/>
    </w:p>
    <w:p w14:paraId="0420DA46" w14:textId="77777777" w:rsidR="00375EC4" w:rsidRDefault="009A6FCC">
      <w:pPr>
        <w:spacing w:after="120" w:line="276" w:lineRule="auto"/>
      </w:pPr>
      <w:r>
        <w:t>Grupos que requieren protección reforzada porque su consentimiento o vulnerabilidad es particular:</w:t>
      </w:r>
    </w:p>
    <w:p w14:paraId="0420DA47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Niños</w:t>
      </w:r>
      <w:r>
        <w:t xml:space="preserve"> (no pueden cons</w:t>
      </w:r>
      <w:r>
        <w:t>entir por sí mismos).</w:t>
      </w:r>
    </w:p>
    <w:p w14:paraId="0420DA4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Embarazadas</w:t>
      </w:r>
      <w:r>
        <w:t xml:space="preserve"> (riesgo para el feto).</w:t>
      </w:r>
    </w:p>
    <w:p w14:paraId="0420DA4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Pacientes críticos / inconscientes</w:t>
      </w:r>
      <w:r>
        <w:t xml:space="preserve"> (no pueden consentir en el momento).</w:t>
      </w:r>
    </w:p>
    <w:p w14:paraId="0420DA4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Pacientes psiquiátricos</w:t>
      </w:r>
      <w:r>
        <w:t xml:space="preserve"> (capacidad de consentir potencialmente comprometida) — </w:t>
      </w:r>
      <w:r>
        <w:rPr>
          <w:i/>
          <w:iCs/>
        </w:rPr>
        <w:t>muy relevante en estudios de psicodélicos.</w:t>
      </w:r>
    </w:p>
    <w:p w14:paraId="0420DA4B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C" wp14:editId="0420DAED">
            <wp:extent cx="5334000" cy="3038475"/>
            <wp:effectExtent l="0" t="0" r="0" b="0"/>
            <wp:docPr id="17" name="fig_39" descr="Figura 17. Poblaciones especiales que requieren protección reforzada: niños, embarazadas, pacientes críticos y pacientes psiquiátrico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4C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</w:t>
      </w:r>
      <w:r>
        <w:rPr>
          <w:i/>
          <w:iCs/>
          <w:color w:val="595959"/>
          <w:sz w:val="18"/>
          <w:szCs w:val="18"/>
        </w:rPr>
        <w:t>ura 17. Poblaciones especiales que requieren protección reforzada: niños, embarazadas, pacientes críticos y pacientes psiquiátricos.</w:t>
      </w:r>
    </w:p>
    <w:p w14:paraId="0420DA4D" w14:textId="77777777" w:rsidR="00375EC4" w:rsidRDefault="009A6FCC">
      <w:pPr>
        <w:pStyle w:val="Ttulo2"/>
      </w:pPr>
      <w:bookmarkStart w:id="32" w:name="_Toc233655052"/>
      <w:r>
        <w:t>6.4 Fases de un ensayo clínico</w:t>
      </w:r>
      <w:bookmarkEnd w:id="32"/>
    </w:p>
    <w:p w14:paraId="0420DA4E" w14:textId="77777777" w:rsidR="00375EC4" w:rsidRDefault="009A6FCC">
      <w:pPr>
        <w:spacing w:after="120" w:line="276" w:lineRule="auto"/>
      </w:pPr>
      <w:r>
        <w:t xml:space="preserve">El desarrollo va de lo </w:t>
      </w:r>
      <w:r>
        <w:rPr>
          <w:b/>
          <w:bCs/>
        </w:rPr>
        <w:t>preclínico</w:t>
      </w:r>
      <w:r>
        <w:t xml:space="preserve"> (laboratorio y animales) a las </w:t>
      </w:r>
      <w:r>
        <w:rPr>
          <w:b/>
          <w:bCs/>
        </w:rPr>
        <w:t>fases en humanos</w:t>
      </w:r>
      <w:r>
        <w:t>.</w:t>
      </w:r>
    </w:p>
    <w:p w14:paraId="0420DA4F" w14:textId="77777777" w:rsidR="00375EC4" w:rsidRDefault="009A6FCC">
      <w:pPr>
        <w:spacing w:after="120" w:line="276" w:lineRule="auto"/>
      </w:pPr>
      <w:r>
        <w:rPr>
          <w:b/>
          <w:bCs/>
        </w:rPr>
        <w:t>Fase bási</w:t>
      </w:r>
      <w:r>
        <w:rPr>
          <w:b/>
          <w:bCs/>
        </w:rPr>
        <w:t xml:space="preserve">ca / preclínica: </w:t>
      </w:r>
      <w:r>
        <w:t>química (síntesis), estudios en animales (cinética, dinámica, dosis tóxica/letal, toxicidad, diferencias entre especies). Evalúa el efecto antes de tocar humanos.</w:t>
      </w:r>
    </w:p>
    <w:p w14:paraId="0420DA50" w14:textId="77777777" w:rsidR="00375EC4" w:rsidRDefault="00375EC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1900"/>
        <w:gridCol w:w="2700"/>
        <w:gridCol w:w="2226"/>
      </w:tblGrid>
      <w:tr w:rsidR="00375EC4" w14:paraId="0420D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1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2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Sujetos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3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Muestra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4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5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Diseño</w:t>
            </w:r>
          </w:p>
        </w:tc>
      </w:tr>
      <w:tr w:rsidR="00375EC4" w14:paraId="0420DA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7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8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Voluntarios sanos*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9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&lt; 20 (a veces 20–100)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A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Seguridad, farmacocinética, dosis tolerada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B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No controlado o con placebo</w:t>
            </w:r>
          </w:p>
        </w:tc>
      </w:tr>
      <w:tr w:rsidR="00375EC4" w14:paraId="0420DA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D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II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E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Pacientes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5F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&lt; 100 (50–300)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0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Dosis-respuesta, eficacia preliminar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1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Controlado con placebo o estándar</w:t>
            </w:r>
          </w:p>
        </w:tc>
      </w:tr>
      <w:tr w:rsidR="00375EC4" w14:paraId="0420DA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3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III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4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Pacientes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5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&lt; 1.000 (100–1.000)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6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Eficacia y seguridad, registro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7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Controlado con placebo o estándar</w:t>
            </w:r>
          </w:p>
        </w:tc>
      </w:tr>
      <w:tr w:rsidR="00375EC4" w14:paraId="0420D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9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IV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A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Pacientes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B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Población general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C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Efectividad, farmacovigilancia, nuevas indicaciones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6D" w14:textId="77777777" w:rsidR="00375EC4" w:rsidRDefault="009A6FCC">
            <w:pPr>
              <w:spacing w:line="248" w:lineRule="auto"/>
            </w:pPr>
            <w:r>
              <w:rPr>
                <w:sz w:val="17"/>
                <w:szCs w:val="17"/>
              </w:rPr>
              <w:t>Controlado con tratamiento estándar</w:t>
            </w:r>
          </w:p>
        </w:tc>
      </w:tr>
    </w:tbl>
    <w:p w14:paraId="0420DA6F" w14:textId="77777777" w:rsidR="00375EC4" w:rsidRDefault="009A6FCC">
      <w:pPr>
        <w:spacing w:before="40" w:after="120"/>
      </w:pPr>
      <w:r>
        <w:rPr>
          <w:i/>
          <w:iCs/>
          <w:color w:val="595959"/>
          <w:sz w:val="17"/>
          <w:szCs w:val="17"/>
        </w:rPr>
        <w:t>* Con fármacos muy tóxicos (p. ej. anticancerosos) la Fase I se hace directamente en pacientes, no en sanos.</w:t>
      </w:r>
    </w:p>
    <w:p w14:paraId="0420DA70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Distinción importante: </w:t>
      </w:r>
    </w:p>
    <w:p w14:paraId="0420DA71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Eficacia</w:t>
      </w:r>
      <w:r>
        <w:t xml:space="preserve"> = funciona en condiciones ideales/controladas (el ensayo).</w:t>
      </w:r>
    </w:p>
    <w:p w14:paraId="0420DA72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Efectividad</w:t>
      </w:r>
      <w:r>
        <w:t xml:space="preserve"> = funciona en el mundo real (Fase IV).</w:t>
      </w:r>
    </w:p>
    <w:p w14:paraId="0420DA73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Efic</w:t>
      </w:r>
      <w:r>
        <w:rPr>
          <w:b/>
          <w:bCs/>
        </w:rPr>
        <w:t>iencia</w:t>
      </w:r>
      <w:r>
        <w:t xml:space="preserve"> = relación entre el efecto y los recursos/costos.</w:t>
      </w:r>
    </w:p>
    <w:p w14:paraId="0420DA74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EE" wp14:editId="0420DAEF">
            <wp:extent cx="5334000" cy="2247900"/>
            <wp:effectExtent l="0" t="0" r="0" b="0"/>
            <wp:docPr id="18" name="fig_40" descr="Figura 18. Fases de los ensayos clínicos, del desarrollo preclínico a las fases I–IV en humano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75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18. Fases de los ensayos clínicos, del desarrollo preclínico a las fases I–IV en humanos.</w:t>
      </w:r>
    </w:p>
    <w:p w14:paraId="0420DA76" w14:textId="77777777" w:rsidR="00375EC4" w:rsidRDefault="009A6FCC">
      <w:pPr>
        <w:pStyle w:val="Ttulo2"/>
      </w:pPr>
      <w:bookmarkStart w:id="33" w:name="_Toc233655053"/>
      <w:r>
        <w:t>6.5 El recorrido de los participantes</w:t>
      </w:r>
      <w:bookmarkEnd w:id="33"/>
    </w:p>
    <w:p w14:paraId="0420DA77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rPr>
          <w:b/>
          <w:bCs/>
        </w:rPr>
        <w:t>Población diana</w:t>
      </w:r>
      <w:r>
        <w:t xml:space="preserve"> → se aplican criterios de selección (inclusión/exclusión).</w:t>
      </w:r>
    </w:p>
    <w:p w14:paraId="0420DA78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t xml:space="preserve">→ </w:t>
      </w:r>
      <w:r>
        <w:rPr>
          <w:b/>
          <w:bCs/>
        </w:rPr>
        <w:t>Población experimental (de estudio)</w:t>
      </w:r>
      <w:r>
        <w:t xml:space="preserve"> → se pide consentimiento (algunos no participan).</w:t>
      </w:r>
    </w:p>
    <w:p w14:paraId="0420DA79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t xml:space="preserve">→ </w:t>
      </w:r>
      <w:r>
        <w:rPr>
          <w:b/>
          <w:bCs/>
        </w:rPr>
        <w:t>Participantes (muestra)</w:t>
      </w:r>
      <w:r>
        <w:t xml:space="preserve"> → asignación aleatoria a grupo de estudio (Intervención A) o grupo de control (Int</w:t>
      </w:r>
      <w:r>
        <w:t>ervención B, placebo o sin intervención).</w:t>
      </w:r>
    </w:p>
    <w:p w14:paraId="0420DA7A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t xml:space="preserve">En cada grupo hay </w:t>
      </w:r>
      <w:r>
        <w:rPr>
          <w:b/>
          <w:bCs/>
        </w:rPr>
        <w:t>pérdidas, incumplidores y reacciones adversas</w:t>
      </w:r>
      <w:r>
        <w:t xml:space="preserve"> → se registran las respuestas.</w:t>
      </w:r>
    </w:p>
    <w:p w14:paraId="0420DA7B" w14:textId="77777777" w:rsidR="00375EC4" w:rsidRDefault="009A6FCC">
      <w:pPr>
        <w:pStyle w:val="Prrafodelista"/>
        <w:numPr>
          <w:ilvl w:val="0"/>
          <w:numId w:val="3"/>
        </w:numPr>
        <w:spacing w:after="100" w:line="272" w:lineRule="auto"/>
      </w:pPr>
      <w:r>
        <w:t xml:space="preserve">→ </w:t>
      </w:r>
      <w:r>
        <w:rPr>
          <w:b/>
          <w:bCs/>
        </w:rPr>
        <w:t>Comparación</w:t>
      </w:r>
      <w:r>
        <w:t xml:space="preserve"> entre grupos → resultados → conclusiones.</w:t>
      </w:r>
    </w:p>
    <w:p w14:paraId="0420DA7C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F0" wp14:editId="0420DAF1">
            <wp:extent cx="4267200" cy="5715000"/>
            <wp:effectExtent l="0" t="0" r="0" b="0"/>
            <wp:docPr id="19" name="fig_42" descr="Figura 19. Recorrido de los participantes: de la población diana a las conclusiones, pasando por selección, consentimiento, aleatorización y comparación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7D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19. Recorrido de los participantes: de la población di</w:t>
      </w:r>
      <w:r>
        <w:rPr>
          <w:i/>
          <w:iCs/>
          <w:color w:val="595959"/>
          <w:sz w:val="18"/>
          <w:szCs w:val="18"/>
        </w:rPr>
        <w:t>ana a las conclusiones, pasando por selección, consentimiento, aleatorización y comparación.</w:t>
      </w:r>
    </w:p>
    <w:p w14:paraId="0420DA7E" w14:textId="77777777" w:rsidR="00375EC4" w:rsidRDefault="009A6FCC">
      <w:pPr>
        <w:pStyle w:val="Ttulo2"/>
      </w:pPr>
      <w:bookmarkStart w:id="34" w:name="_Toc233655054"/>
      <w:r>
        <w:t>6.6 Aleatorización (asignación al azar)</w:t>
      </w:r>
      <w:bookmarkEnd w:id="34"/>
    </w:p>
    <w:p w14:paraId="0420DA7F" w14:textId="77777777" w:rsidR="00375EC4" w:rsidRDefault="009A6FCC">
      <w:pPr>
        <w:spacing w:after="120" w:line="276" w:lineRule="auto"/>
      </w:pPr>
      <w:r>
        <w:t xml:space="preserve">Asignar a los participantes a los grupos </w:t>
      </w:r>
      <w:r>
        <w:rPr>
          <w:b/>
          <w:bCs/>
        </w:rPr>
        <w:t>por azar</w:t>
      </w:r>
      <w:r>
        <w:t xml:space="preserve"> (sorteo, tablas de números aleatorios como el clásico </w:t>
      </w:r>
      <w:r>
        <w:rPr>
          <w:i/>
          <w:iCs/>
        </w:rPr>
        <w:t>A Million Random Di</w:t>
      </w:r>
      <w:r>
        <w:rPr>
          <w:i/>
          <w:iCs/>
        </w:rPr>
        <w:t>gits</w:t>
      </w:r>
      <w:r>
        <w:t>, o software).</w:t>
      </w:r>
    </w:p>
    <w:p w14:paraId="0420DA80" w14:textId="77777777" w:rsidR="00375EC4" w:rsidRDefault="009A6FCC">
      <w:pPr>
        <w:spacing w:after="120" w:line="276" w:lineRule="auto"/>
      </w:pPr>
      <w:r>
        <w:rPr>
          <w:b/>
          <w:bCs/>
        </w:rPr>
        <w:t xml:space="preserve">¿Para qué sirve? </w:t>
      </w:r>
      <w:r>
        <w:t xml:space="preserve">Para que los grupos sean </w:t>
      </w:r>
      <w:r>
        <w:rPr>
          <w:b/>
          <w:bCs/>
        </w:rPr>
        <w:t>comparables</w:t>
      </w:r>
      <w:r>
        <w:t xml:space="preserve"> y se repartan de forma pareja tanto las variables conocidas como las </w:t>
      </w:r>
      <w:r>
        <w:rPr>
          <w:b/>
          <w:bCs/>
        </w:rPr>
        <w:t>desconocidas</w:t>
      </w:r>
      <w:r>
        <w:t xml:space="preserve"> (sesgos que no anticipamos). Es lo que permite atribuir las diferencias al tratamiento y no a una asimetría previa.</w:t>
      </w:r>
    </w:p>
    <w:p w14:paraId="0420DA81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F2" wp14:editId="0420DAF3">
            <wp:extent cx="5334000" cy="3286125"/>
            <wp:effectExtent l="0" t="0" r="0" b="0"/>
            <wp:docPr id="20" name="fig_43" descr="Figura 20. Aleatorización: para lograr grupos comparables y repartir sesgos conocidos y desconocidos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82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20. Aleatorización: para lograr grupos comparables y repartir sesgos conocidos y desconocidos.</w:t>
      </w:r>
    </w:p>
    <w:p w14:paraId="0420DA83" w14:textId="77777777" w:rsidR="00375EC4" w:rsidRDefault="009A6FCC">
      <w:pPr>
        <w:pStyle w:val="Ttulo2"/>
      </w:pPr>
      <w:bookmarkStart w:id="35" w:name="_Toc233655055"/>
      <w:r>
        <w:t>6.7 Enmascaramiento (ciego)</w:t>
      </w:r>
      <w:bookmarkEnd w:id="35"/>
    </w:p>
    <w:p w14:paraId="0420DA84" w14:textId="77777777" w:rsidR="00375EC4" w:rsidRDefault="009A6FCC">
      <w:pPr>
        <w:spacing w:after="120" w:line="276" w:lineRule="auto"/>
      </w:pPr>
      <w:r>
        <w:t>Según q</w:t>
      </w:r>
      <w:r>
        <w:t>uién desconoce la asignación: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6"/>
        <w:gridCol w:w="2200"/>
        <w:gridCol w:w="2200"/>
        <w:gridCol w:w="2200"/>
      </w:tblGrid>
      <w:tr w:rsidR="00375EC4" w14:paraId="0420D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5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6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Paciente sabe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7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Investigador sabe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8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Analista sabe</w:t>
            </w:r>
          </w:p>
        </w:tc>
      </w:tr>
      <w:tr w:rsidR="00375EC4" w14:paraId="0420DA8E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A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Abierto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B" w14:textId="77777777" w:rsidR="00375EC4" w:rsidRDefault="009A6FCC">
            <w:pPr>
              <w:spacing w:line="248" w:lineRule="auto"/>
              <w:jc w:val="center"/>
            </w:pPr>
            <w:r>
              <w:t>sí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C" w14:textId="77777777" w:rsidR="00375EC4" w:rsidRDefault="009A6FCC">
            <w:pPr>
              <w:spacing w:line="248" w:lineRule="auto"/>
              <w:jc w:val="center"/>
            </w:pPr>
            <w:r>
              <w:t>sí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D" w14:textId="77777777" w:rsidR="00375EC4" w:rsidRDefault="009A6FCC">
            <w:pPr>
              <w:spacing w:line="248" w:lineRule="auto"/>
              <w:jc w:val="center"/>
            </w:pPr>
            <w:r>
              <w:t>sí</w:t>
            </w:r>
          </w:p>
        </w:tc>
      </w:tr>
      <w:tr w:rsidR="00375EC4" w14:paraId="0420DA93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8F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Simple ciego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0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1" w14:textId="77777777" w:rsidR="00375EC4" w:rsidRDefault="009A6FCC">
            <w:pPr>
              <w:spacing w:line="248" w:lineRule="auto"/>
              <w:jc w:val="center"/>
            </w:pPr>
            <w:r>
              <w:t>sí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2" w14:textId="77777777" w:rsidR="00375EC4" w:rsidRDefault="009A6FCC">
            <w:pPr>
              <w:spacing w:line="248" w:lineRule="auto"/>
              <w:jc w:val="center"/>
            </w:pPr>
            <w:r>
              <w:t>sí</w:t>
            </w:r>
          </w:p>
        </w:tc>
      </w:tr>
      <w:tr w:rsidR="00375EC4" w14:paraId="0420DA98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4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Doble ciego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5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6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7" w14:textId="77777777" w:rsidR="00375EC4" w:rsidRDefault="009A6FCC">
            <w:pPr>
              <w:spacing w:line="248" w:lineRule="auto"/>
              <w:jc w:val="center"/>
            </w:pPr>
            <w:r>
              <w:t>sí</w:t>
            </w:r>
          </w:p>
        </w:tc>
      </w:tr>
      <w:tr w:rsidR="00375EC4" w14:paraId="0420DA9D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9" w14:textId="77777777" w:rsidR="00375EC4" w:rsidRDefault="009A6FCC">
            <w:pPr>
              <w:spacing w:line="248" w:lineRule="auto"/>
            </w:pPr>
            <w:r>
              <w:rPr>
                <w:b/>
                <w:bCs/>
              </w:rPr>
              <w:t>Triple ciego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A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B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20DA9C" w14:textId="77777777" w:rsidR="00375EC4" w:rsidRDefault="009A6FCC">
            <w:pPr>
              <w:spacing w:line="248" w:lineRule="auto"/>
              <w:jc w:val="center"/>
            </w:pPr>
            <w:r>
              <w:rPr>
                <w:b/>
                <w:bCs/>
              </w:rPr>
              <w:t>no</w:t>
            </w:r>
          </w:p>
        </w:tc>
      </w:tr>
    </w:tbl>
    <w:p w14:paraId="0420DA9E" w14:textId="77777777" w:rsidR="00375EC4" w:rsidRDefault="00375EC4">
      <w:pPr>
        <w:spacing w:after="60"/>
      </w:pPr>
    </w:p>
    <w:p w14:paraId="0420DA9F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 xml:space="preserve">Cuanto más “ciego”, menos contaminan las expectativas. El </w:t>
      </w:r>
      <w:r>
        <w:rPr>
          <w:b/>
          <w:bCs/>
        </w:rPr>
        <w:t>efecto placebo</w:t>
      </w:r>
      <w:r>
        <w:t xml:space="preserve"> y el sesgo del observador son enemigos directos de la validez. Problema específico de los psicodélicos: el sujeto suele “darse cuenta” de si recibió el principio activo, lo que dificu</w:t>
      </w:r>
      <w:r>
        <w:t>lta mantener el ciego (un desafío metodológico real en esta línea).</w:t>
      </w:r>
    </w:p>
    <w:p w14:paraId="0420DAA0" w14:textId="77777777" w:rsidR="00375EC4" w:rsidRDefault="009A6FCC">
      <w:pPr>
        <w:pStyle w:val="Ttulo2"/>
      </w:pPr>
      <w:bookmarkStart w:id="36" w:name="_Toc233655056"/>
      <w:r>
        <w:t>6.8 Controles y placebo</w:t>
      </w:r>
      <w:bookmarkEnd w:id="36"/>
    </w:p>
    <w:p w14:paraId="0420DAA1" w14:textId="77777777" w:rsidR="00375EC4" w:rsidRDefault="009A6FCC">
      <w:pPr>
        <w:spacing w:after="120" w:line="276" w:lineRule="auto"/>
      </w:pPr>
      <w:r>
        <w:t xml:space="preserve">El grupo control recibe </w:t>
      </w:r>
      <w:r>
        <w:rPr>
          <w:b/>
          <w:bCs/>
        </w:rPr>
        <w:t>placebo</w:t>
      </w:r>
      <w:r>
        <w:t xml:space="preserve"> (sin principio activo) o el </w:t>
      </w:r>
      <w:r>
        <w:rPr>
          <w:b/>
          <w:bCs/>
        </w:rPr>
        <w:t>tratamiento estándar</w:t>
      </w:r>
      <w:r>
        <w:t>. Tras la aleatorización/selección, distintos grupos reciben tratamiento A, B o C. L</w:t>
      </w:r>
      <w:r>
        <w:t xml:space="preserve">a comparación contra el control es lo que permite separar el </w:t>
      </w:r>
      <w:r>
        <w:rPr>
          <w:b/>
          <w:bCs/>
        </w:rPr>
        <w:t>efecto real del fármaco</w:t>
      </w:r>
      <w:r>
        <w:t xml:space="preserve"> del </w:t>
      </w:r>
      <w:r>
        <w:rPr>
          <w:b/>
          <w:bCs/>
        </w:rPr>
        <w:t>efecto placebo</w:t>
      </w:r>
      <w:r>
        <w:t xml:space="preserve"> y de la evolución natural de la enfermedad.</w:t>
      </w:r>
    </w:p>
    <w:p w14:paraId="0420DAA2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F4" wp14:editId="0420DAF5">
            <wp:extent cx="5334000" cy="2676525"/>
            <wp:effectExtent l="0" t="0" r="0" b="0"/>
            <wp:docPr id="21" name="fig_45" descr="Figura 21. Controles y placebo: tras la aleatorización, los grupos reciben tratamiento A, B o C; la comparación contra el control aísla el efecto real del fármaco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A3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21. Controles y placebo: tras la aleatorización, los grupos reciben tratamiento A, B o C; la compar</w:t>
      </w:r>
      <w:r>
        <w:rPr>
          <w:i/>
          <w:iCs/>
          <w:color w:val="595959"/>
          <w:sz w:val="18"/>
          <w:szCs w:val="18"/>
        </w:rPr>
        <w:t>ación contra el control aísla el efecto real del fármaco.</w:t>
      </w:r>
    </w:p>
    <w:p w14:paraId="0420DAA4" w14:textId="77777777" w:rsidR="00375EC4" w:rsidRDefault="009A6FCC">
      <w:pPr>
        <w:pStyle w:val="Ttulo2"/>
      </w:pPr>
      <w:bookmarkStart w:id="37" w:name="_Toc233655057"/>
      <w:r>
        <w:t>6.9 Diseños de ensayo</w:t>
      </w:r>
      <w:bookmarkEnd w:id="37"/>
    </w:p>
    <w:p w14:paraId="0420DAA5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Ensayos paralelos: </w:t>
      </w:r>
      <w:r>
        <w:t>dos (o más) grupos reciben tratamientos distintos en simultáneo (N₁ recibe T1, N₂ recibe T2). Cada participante recibe un solo tratamiento.</w:t>
      </w:r>
    </w:p>
    <w:p w14:paraId="0420DAA6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Ensayos cruzados (cross-over): </w:t>
      </w:r>
      <w:r>
        <w:t>cada participante recibe ambos tratamientos en distintos períodos (es su propio control).</w:t>
      </w:r>
    </w:p>
    <w:p w14:paraId="0420DAA7" w14:textId="77777777" w:rsidR="00375EC4" w:rsidRDefault="009A6FCC">
      <w:pPr>
        <w:pStyle w:val="Prrafodelista"/>
        <w:numPr>
          <w:ilvl w:val="1"/>
          <w:numId w:val="2"/>
        </w:numPr>
        <w:spacing w:after="70" w:line="272" w:lineRule="auto"/>
      </w:pPr>
      <w:r>
        <w:rPr>
          <w:b/>
          <w:bCs/>
        </w:rPr>
        <w:t xml:space="preserve">Cruzado simple: </w:t>
      </w:r>
      <w:r>
        <w:t>el grupo pasa de T1 a T2.</w:t>
      </w:r>
    </w:p>
    <w:p w14:paraId="0420DAA8" w14:textId="77777777" w:rsidR="00375EC4" w:rsidRDefault="009A6FCC">
      <w:pPr>
        <w:pStyle w:val="Prrafodelista"/>
        <w:numPr>
          <w:ilvl w:val="1"/>
          <w:numId w:val="2"/>
        </w:numPr>
        <w:spacing w:after="70" w:line="272" w:lineRule="auto"/>
      </w:pPr>
      <w:r>
        <w:rPr>
          <w:b/>
          <w:bCs/>
        </w:rPr>
        <w:t xml:space="preserve">En cruz latina: </w:t>
      </w:r>
      <w:r>
        <w:t>la mitad hace T1→T2 y la otra mitad T2→T1 (controla el orden).</w:t>
      </w:r>
    </w:p>
    <w:p w14:paraId="0420DAA9" w14:textId="77777777" w:rsidR="00375EC4" w:rsidRDefault="009A6FCC">
      <w:pPr>
        <w:pStyle w:val="Prrafodelista"/>
        <w:numPr>
          <w:ilvl w:val="1"/>
          <w:numId w:val="2"/>
        </w:numPr>
        <w:spacing w:after="70" w:line="272" w:lineRule="auto"/>
      </w:pPr>
      <w:r>
        <w:rPr>
          <w:b/>
          <w:bCs/>
        </w:rPr>
        <w:t xml:space="preserve">Con período de lavado (washout): </w:t>
      </w:r>
      <w:r>
        <w:t>se intercala</w:t>
      </w:r>
      <w:r>
        <w:t xml:space="preserve"> un período sin tratamiento (PI) para que desaparezca el efecto del primero antes de dar el segundo.</w:t>
      </w:r>
    </w:p>
    <w:p w14:paraId="0420DAAA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F6" wp14:editId="0420DAF7">
            <wp:extent cx="5334000" cy="3219450"/>
            <wp:effectExtent l="0" t="0" r="0" b="0"/>
            <wp:docPr id="22" name="fig_46" descr="Figura 22. Diseños de ensayo: paralelos vs. cruzados (cross-over), incluyendo cruz latina y período de lavado (washout)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AB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22. Diseños de ensayo: paralelos vs. cruzados (cross-over), incluyendo cruz latina y período de lavado (washout).</w:t>
      </w:r>
    </w:p>
    <w:p w14:paraId="0420DAAC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>El cruzado es efi</w:t>
      </w:r>
      <w:r>
        <w:t xml:space="preserve">ciente (menos participantes, cada uno es su control) pero </w:t>
      </w:r>
      <w:r>
        <w:rPr>
          <w:b/>
          <w:bCs/>
        </w:rPr>
        <w:t>no sirve</w:t>
      </w:r>
      <w:r>
        <w:t xml:space="preserve"> si la enfermedad cambia con el tiempo o si el primer tratamiento deja efecto residual → por eso el </w:t>
      </w:r>
      <w:r>
        <w:rPr>
          <w:b/>
          <w:bCs/>
        </w:rPr>
        <w:t>período de lavado</w:t>
      </w:r>
      <w:r>
        <w:t>.</w:t>
      </w:r>
    </w:p>
    <w:p w14:paraId="0420DAAD" w14:textId="77777777" w:rsidR="00375EC4" w:rsidRDefault="009A6FCC">
      <w:pPr>
        <w:pStyle w:val="Ttulo2"/>
      </w:pPr>
      <w:bookmarkStart w:id="38" w:name="_Toc233655058"/>
      <w:r>
        <w:t>6.10 Metodología: tipos de hipótesis</w:t>
      </w:r>
      <w:bookmarkEnd w:id="38"/>
    </w:p>
    <w:p w14:paraId="0420DAAE" w14:textId="77777777" w:rsidR="00375EC4" w:rsidRDefault="009A6FCC">
      <w:pPr>
        <w:spacing w:after="120" w:line="276" w:lineRule="auto"/>
      </w:pPr>
      <w:r>
        <w:t>Según lo que se quiere demostrar r</w:t>
      </w:r>
      <w:r>
        <w:t>especto del comparador, con límites de aceptación predefinidos:</w:t>
      </w:r>
    </w:p>
    <w:p w14:paraId="0420DAA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Equivalencia: </w:t>
      </w:r>
      <w:r>
        <w:t>demostrar que el nuevo tratamiento no difiere (ni mejor ni peor) del comparador (su intervalo cae dentro de los límites).</w:t>
      </w:r>
    </w:p>
    <w:p w14:paraId="0420DAB0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No inferioridad: </w:t>
      </w:r>
      <w:r>
        <w:t>demostrar que no es peor que el compara</w:t>
      </w:r>
      <w:r>
        <w:t>dor (puede ser igual o mejor; su intervalo no cruza el límite inferior).</w:t>
      </w:r>
    </w:p>
    <w:p w14:paraId="0420DAB1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Superioridad: </w:t>
      </w:r>
      <w:r>
        <w:t>demostrar que es mejor que el comparador (su intervalo queda por encima del límite superior).</w:t>
      </w:r>
    </w:p>
    <w:p w14:paraId="0420DAB2" w14:textId="77777777" w:rsidR="00375EC4" w:rsidRDefault="009A6FCC">
      <w:pPr>
        <w:spacing w:before="130" w:after="40"/>
        <w:jc w:val="center"/>
      </w:pPr>
      <w:r>
        <w:rPr>
          <w:noProof/>
        </w:rPr>
        <w:drawing>
          <wp:inline distT="0" distB="0" distL="0" distR="0" wp14:anchorId="0420DAF8" wp14:editId="0420DAF9">
            <wp:extent cx="5334000" cy="2676525"/>
            <wp:effectExtent l="0" t="0" r="0" b="0"/>
            <wp:docPr id="23" name="fig_47" descr="Figura 23. Tipos de hipótesis según los límites de aceptación: equivalencia, no inferioridad y superioridad.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AB3" w14:textId="77777777" w:rsidR="00375EC4" w:rsidRDefault="009A6FCC">
      <w:pPr>
        <w:spacing w:after="210"/>
        <w:jc w:val="center"/>
      </w:pPr>
      <w:r>
        <w:rPr>
          <w:i/>
          <w:iCs/>
          <w:color w:val="595959"/>
          <w:sz w:val="18"/>
          <w:szCs w:val="18"/>
        </w:rPr>
        <w:t>Figura 23. Tipos de hipótesis según los límites de aceptación: equivalenc</w:t>
      </w:r>
      <w:r>
        <w:rPr>
          <w:i/>
          <w:iCs/>
          <w:color w:val="595959"/>
          <w:sz w:val="18"/>
          <w:szCs w:val="18"/>
        </w:rPr>
        <w:t>ia, no inferioridad y superioridad.</w:t>
      </w:r>
    </w:p>
    <w:p w14:paraId="0420DAB4" w14:textId="77777777" w:rsidR="00375EC4" w:rsidRDefault="009A6FCC">
      <w:pPr>
        <w:pBdr>
          <w:left w:val="single" w:sz="18" w:space="10" w:color="2E75B6"/>
        </w:pBdr>
        <w:shd w:val="clear" w:color="auto" w:fill="EAF2FB"/>
        <w:spacing w:before="80" w:after="170" w:line="276" w:lineRule="auto"/>
        <w:ind w:left="170" w:right="90"/>
      </w:pPr>
      <w:r>
        <w:rPr>
          <w:b/>
          <w:bCs/>
          <w:color w:val="2E75B6"/>
        </w:rPr>
        <w:t xml:space="preserve">◆ IDEA CLAVE   </w:t>
      </w:r>
      <w:r>
        <w:t>La pregunta define el diseño y el análisis estadístico. “¿Es mejor?” (superioridad) no es lo mismo que “¿es al menos tan bueno y quizá con menos efectos adversos?” (no inferioridad).</w:t>
      </w:r>
    </w:p>
    <w:p w14:paraId="0420DAB5" w14:textId="77777777" w:rsidR="00375EC4" w:rsidRDefault="009A6FCC">
      <w:r>
        <w:br w:type="page"/>
      </w:r>
    </w:p>
    <w:p w14:paraId="0420DAB6" w14:textId="77777777" w:rsidR="00375EC4" w:rsidRDefault="009A6FCC">
      <w:pPr>
        <w:pStyle w:val="Ttulo1"/>
      </w:pPr>
      <w:bookmarkStart w:id="39" w:name="_Toc233655059"/>
      <w:r>
        <w:t>Glosario rápido para</w:t>
      </w:r>
      <w:r>
        <w:t xml:space="preserve"> repasar</w:t>
      </w:r>
      <w:bookmarkEnd w:id="39"/>
    </w:p>
    <w:p w14:paraId="0420DAB7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Qualia: </w:t>
      </w:r>
      <w:r>
        <w:t>el carácter cualitativo de la experiencia (“lo que se siente”).</w:t>
      </w:r>
    </w:p>
    <w:p w14:paraId="0420DAB8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Problema difícil de la conciencia: </w:t>
      </w:r>
      <w:r>
        <w:t>por qué los procesos cerebrales van acompañados de experiencia subjetiva.</w:t>
      </w:r>
    </w:p>
    <w:p w14:paraId="0420DAB9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DMN (Default Mode Network): </w:t>
      </w:r>
      <w:r>
        <w:t>red por defecto, asociada al “yo narrativo”; clave en ego dissolution.</w:t>
      </w:r>
    </w:p>
    <w:p w14:paraId="0420DABA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Enteógeno: </w:t>
      </w:r>
      <w:r>
        <w:t>psicodélico usado con fin espiritual/ritual.</w:t>
      </w:r>
    </w:p>
    <w:p w14:paraId="0420DABB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5-HT2A: </w:t>
      </w:r>
      <w:r>
        <w:t>receptor de serotonina, diana central de los psicodélicos clásicos; abundante en corteza.</w:t>
      </w:r>
    </w:p>
    <w:p w14:paraId="0420DABC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Agonista parcial: </w:t>
      </w:r>
      <w:r>
        <w:t>activa el rec</w:t>
      </w:r>
      <w:r>
        <w:t>eptor pero menos que el ligando natural.</w:t>
      </w:r>
    </w:p>
    <w:p w14:paraId="0420DABD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Ionotrópico vs. metabotrópico: </w:t>
      </w:r>
      <w:r>
        <w:t>canal directo (rápido) vs. proteína G + segundos mensajeros (lento/modulatorio).</w:t>
      </w:r>
    </w:p>
    <w:p w14:paraId="0420DABE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DE50 / DL50 / índice terapéutico: </w:t>
      </w:r>
      <w:r>
        <w:t>dosis efectiva 50% / dosis letal 50% / margen de seguridad.</w:t>
      </w:r>
    </w:p>
    <w:p w14:paraId="0420DABF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Eficacia </w:t>
      </w:r>
      <w:r>
        <w:rPr>
          <w:b/>
          <w:bCs/>
        </w:rPr>
        <w:t xml:space="preserve">vs. efectividad: </w:t>
      </w:r>
      <w:r>
        <w:t>funciona en condiciones ideales vs. en el mundo real.</w:t>
      </w:r>
    </w:p>
    <w:p w14:paraId="0420DAC0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Doble ciego: </w:t>
      </w:r>
      <w:r>
        <w:t>ni paciente ni investigador saben quién recibe qué.</w:t>
      </w:r>
    </w:p>
    <w:p w14:paraId="0420DAC1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Washout (período de lavado): </w:t>
      </w:r>
      <w:r>
        <w:t>pausa sin tratamiento en diseños cruzados.</w:t>
      </w:r>
    </w:p>
    <w:p w14:paraId="0420DAC2" w14:textId="77777777" w:rsidR="00375EC4" w:rsidRDefault="009A6FCC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No inferioridad / superioridad / equivalencia: </w:t>
      </w:r>
      <w:r>
        <w:t>l</w:t>
      </w:r>
      <w:r>
        <w:t>os tres tipos de hipótesis de un ensayo.</w:t>
      </w:r>
    </w:p>
    <w:p w14:paraId="0420DAC3" w14:textId="77777777" w:rsidR="00375EC4" w:rsidRDefault="009A6FCC">
      <w:pPr>
        <w:pStyle w:val="Ttulo1"/>
      </w:pPr>
      <w:bookmarkStart w:id="40" w:name="_Toc233655060"/>
      <w:r>
        <w:t>Preguntas de autoevaluación</w:t>
      </w:r>
      <w:bookmarkEnd w:id="40"/>
    </w:p>
    <w:p w14:paraId="0420DAC4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Distinguí niveles y contenidos de conciencia con un ejemplo de cada desacople.</w:t>
      </w:r>
    </w:p>
    <w:p w14:paraId="0420DAC5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¿Por qué la estructura química de las triptaminas predice su acción sobre la serotonina?</w:t>
      </w:r>
    </w:p>
    <w:p w14:paraId="0420DAC6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Explicá la diferencia entre potencia e índice terapéutico con un ejemplo.</w:t>
      </w:r>
    </w:p>
    <w:p w14:paraId="0420DAC7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¿Por qué el doble ciego es especialmente difícil de lograr en ensayos con psicodélicos?</w:t>
      </w:r>
    </w:p>
    <w:p w14:paraId="0420DAC8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Un fá</w:t>
      </w:r>
      <w:r>
        <w:t>rmaco actúa “inhibiendo la recaptación”: ¿en qué punto de la sinapsis actúa y qué efecto tiene sobre el neurotransmisor?</w:t>
      </w:r>
    </w:p>
    <w:p w14:paraId="0420DAC9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¿Cuándo elegirías un diseño cruzado y cuándo uno paralelo? ¿Qué problema resuelve el período de lavado?</w:t>
      </w:r>
    </w:p>
    <w:p w14:paraId="0420DACA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Compará la pérdida del yo en ps</w:t>
      </w:r>
      <w:r>
        <w:t>icodélicos vs. meditación: ¿en qué se parecen y en qué se oponen?</w:t>
      </w:r>
    </w:p>
    <w:p w14:paraId="0420DACB" w14:textId="77777777" w:rsidR="00375EC4" w:rsidRDefault="009A6FCC">
      <w:pPr>
        <w:pStyle w:val="Prrafodelista"/>
        <w:numPr>
          <w:ilvl w:val="0"/>
          <w:numId w:val="4"/>
        </w:numPr>
        <w:spacing w:after="100" w:line="272" w:lineRule="auto"/>
      </w:pPr>
      <w:r>
        <w:t>¿Qué significa que la ketamina tenga efectos dosis-dependientes? Nombrá tres rangos.</w:t>
      </w:r>
    </w:p>
    <w:sectPr w:rsidR="00375EC4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1F6E9" w14:textId="77777777" w:rsidR="009A6FCC" w:rsidRDefault="009A6FCC">
      <w:r>
        <w:separator/>
      </w:r>
    </w:p>
  </w:endnote>
  <w:endnote w:type="continuationSeparator" w:id="0">
    <w:p w14:paraId="7689D145" w14:textId="77777777" w:rsidR="009A6FCC" w:rsidRDefault="009A6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0DAFB" w14:textId="58CAEBFE" w:rsidR="00375EC4" w:rsidRDefault="009A6FCC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7379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7379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526E0" w14:textId="77777777" w:rsidR="009A6FCC" w:rsidRDefault="009A6FCC">
      <w:r>
        <w:separator/>
      </w:r>
    </w:p>
  </w:footnote>
  <w:footnote w:type="continuationSeparator" w:id="0">
    <w:p w14:paraId="26E155BA" w14:textId="77777777" w:rsidR="009A6FCC" w:rsidRDefault="009A6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0DAFA" w14:textId="77777777" w:rsidR="00375EC4" w:rsidRDefault="009A6FCC">
    <w:pPr>
      <w:pBdr>
        <w:bottom w:val="single" w:sz="4" w:space="6" w:color="C9D6E8"/>
      </w:pBdr>
      <w:tabs>
        <w:tab w:val="right" w:pos="9026"/>
      </w:tabs>
    </w:pPr>
    <w:r>
      <w:rPr>
        <w:color w:val="595959"/>
        <w:sz w:val="16"/>
        <w:szCs w:val="16"/>
      </w:rPr>
      <w:t>Biología del Comportamiento</w:t>
    </w:r>
    <w:r>
      <w:rPr>
        <w:color w:val="595959"/>
        <w:sz w:val="16"/>
        <w:szCs w:val="16"/>
      </w:rPr>
      <w:tab/>
      <w:t>Clase 7 — Psicodélicos y Ensayos Clínicos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258C"/>
    <w:multiLevelType w:val="hybridMultilevel"/>
    <w:tmpl w:val="2E4C9B3A"/>
    <w:lvl w:ilvl="0" w:tplc="8610778C">
      <w:start w:val="1"/>
      <w:numFmt w:val="bullet"/>
      <w:lvlText w:val="•"/>
      <w:lvlJc w:val="left"/>
      <w:pPr>
        <w:ind w:left="540" w:hanging="280"/>
      </w:pPr>
    </w:lvl>
    <w:lvl w:ilvl="1" w:tplc="D9E6FD7A">
      <w:start w:val="1"/>
      <w:numFmt w:val="bullet"/>
      <w:lvlText w:val="◦"/>
      <w:lvlJc w:val="left"/>
      <w:pPr>
        <w:ind w:left="1040" w:hanging="280"/>
      </w:pPr>
    </w:lvl>
    <w:lvl w:ilvl="2" w:tplc="C8C22E0A">
      <w:numFmt w:val="decimal"/>
      <w:lvlText w:val=""/>
      <w:lvlJc w:val="left"/>
    </w:lvl>
    <w:lvl w:ilvl="3" w:tplc="831EB9D2">
      <w:numFmt w:val="decimal"/>
      <w:lvlText w:val=""/>
      <w:lvlJc w:val="left"/>
    </w:lvl>
    <w:lvl w:ilvl="4" w:tplc="5F28054E">
      <w:numFmt w:val="decimal"/>
      <w:lvlText w:val=""/>
      <w:lvlJc w:val="left"/>
    </w:lvl>
    <w:lvl w:ilvl="5" w:tplc="F2B6E766">
      <w:numFmt w:val="decimal"/>
      <w:lvlText w:val=""/>
      <w:lvlJc w:val="left"/>
    </w:lvl>
    <w:lvl w:ilvl="6" w:tplc="D9CE2BCE">
      <w:numFmt w:val="decimal"/>
      <w:lvlText w:val=""/>
      <w:lvlJc w:val="left"/>
    </w:lvl>
    <w:lvl w:ilvl="7" w:tplc="C1EC0B84">
      <w:numFmt w:val="decimal"/>
      <w:lvlText w:val=""/>
      <w:lvlJc w:val="left"/>
    </w:lvl>
    <w:lvl w:ilvl="8" w:tplc="1368CE4C">
      <w:numFmt w:val="decimal"/>
      <w:lvlText w:val=""/>
      <w:lvlJc w:val="left"/>
    </w:lvl>
  </w:abstractNum>
  <w:abstractNum w:abstractNumId="1" w15:restartNumberingAfterBreak="0">
    <w:nsid w:val="531179FF"/>
    <w:multiLevelType w:val="hybridMultilevel"/>
    <w:tmpl w:val="F1E0CD42"/>
    <w:lvl w:ilvl="0" w:tplc="F82695A4">
      <w:start w:val="1"/>
      <w:numFmt w:val="decimal"/>
      <w:lvlText w:val="%1."/>
      <w:lvlJc w:val="left"/>
      <w:pPr>
        <w:ind w:left="540" w:hanging="280"/>
      </w:pPr>
    </w:lvl>
    <w:lvl w:ilvl="1" w:tplc="3AB2426A">
      <w:numFmt w:val="decimal"/>
      <w:lvlText w:val=""/>
      <w:lvlJc w:val="left"/>
    </w:lvl>
    <w:lvl w:ilvl="2" w:tplc="4A005756">
      <w:numFmt w:val="decimal"/>
      <w:lvlText w:val=""/>
      <w:lvlJc w:val="left"/>
    </w:lvl>
    <w:lvl w:ilvl="3" w:tplc="0B4EFE68">
      <w:numFmt w:val="decimal"/>
      <w:lvlText w:val=""/>
      <w:lvlJc w:val="left"/>
    </w:lvl>
    <w:lvl w:ilvl="4" w:tplc="5E626A82">
      <w:numFmt w:val="decimal"/>
      <w:lvlText w:val=""/>
      <w:lvlJc w:val="left"/>
    </w:lvl>
    <w:lvl w:ilvl="5" w:tplc="95DA377C">
      <w:numFmt w:val="decimal"/>
      <w:lvlText w:val=""/>
      <w:lvlJc w:val="left"/>
    </w:lvl>
    <w:lvl w:ilvl="6" w:tplc="00CAB286">
      <w:numFmt w:val="decimal"/>
      <w:lvlText w:val=""/>
      <w:lvlJc w:val="left"/>
    </w:lvl>
    <w:lvl w:ilvl="7" w:tplc="7592D7B4">
      <w:numFmt w:val="decimal"/>
      <w:lvlText w:val=""/>
      <w:lvlJc w:val="left"/>
    </w:lvl>
    <w:lvl w:ilvl="8" w:tplc="C3CC2090">
      <w:numFmt w:val="decimal"/>
      <w:lvlText w:val=""/>
      <w:lvlJc w:val="left"/>
    </w:lvl>
  </w:abstractNum>
  <w:abstractNum w:abstractNumId="2" w15:restartNumberingAfterBreak="0">
    <w:nsid w:val="666467AB"/>
    <w:multiLevelType w:val="hybridMultilevel"/>
    <w:tmpl w:val="D54C3F1A"/>
    <w:lvl w:ilvl="0" w:tplc="2504713A">
      <w:start w:val="1"/>
      <w:numFmt w:val="decimal"/>
      <w:lvlText w:val="%1."/>
      <w:lvlJc w:val="left"/>
      <w:pPr>
        <w:ind w:left="540" w:hanging="280"/>
      </w:pPr>
    </w:lvl>
    <w:lvl w:ilvl="1" w:tplc="2196DEB8">
      <w:numFmt w:val="decimal"/>
      <w:lvlText w:val=""/>
      <w:lvlJc w:val="left"/>
    </w:lvl>
    <w:lvl w:ilvl="2" w:tplc="B5ACF44C">
      <w:numFmt w:val="decimal"/>
      <w:lvlText w:val=""/>
      <w:lvlJc w:val="left"/>
    </w:lvl>
    <w:lvl w:ilvl="3" w:tplc="A316EDCE">
      <w:numFmt w:val="decimal"/>
      <w:lvlText w:val=""/>
      <w:lvlJc w:val="left"/>
    </w:lvl>
    <w:lvl w:ilvl="4" w:tplc="7D86DC98">
      <w:numFmt w:val="decimal"/>
      <w:lvlText w:val=""/>
      <w:lvlJc w:val="left"/>
    </w:lvl>
    <w:lvl w:ilvl="5" w:tplc="6486D7AE">
      <w:numFmt w:val="decimal"/>
      <w:lvlText w:val=""/>
      <w:lvlJc w:val="left"/>
    </w:lvl>
    <w:lvl w:ilvl="6" w:tplc="D852710A">
      <w:numFmt w:val="decimal"/>
      <w:lvlText w:val=""/>
      <w:lvlJc w:val="left"/>
    </w:lvl>
    <w:lvl w:ilvl="7" w:tplc="1F742956">
      <w:numFmt w:val="decimal"/>
      <w:lvlText w:val=""/>
      <w:lvlJc w:val="left"/>
    </w:lvl>
    <w:lvl w:ilvl="8" w:tplc="376472E2">
      <w:numFmt w:val="decimal"/>
      <w:lvlText w:val=""/>
      <w:lvlJc w:val="left"/>
    </w:lvl>
  </w:abstractNum>
  <w:abstractNum w:abstractNumId="3" w15:restartNumberingAfterBreak="0">
    <w:nsid w:val="7B2763A3"/>
    <w:multiLevelType w:val="hybridMultilevel"/>
    <w:tmpl w:val="413C26BE"/>
    <w:lvl w:ilvl="0" w:tplc="C0EA6530">
      <w:start w:val="1"/>
      <w:numFmt w:val="bullet"/>
      <w:lvlText w:val="●"/>
      <w:lvlJc w:val="left"/>
      <w:pPr>
        <w:ind w:left="720" w:hanging="360"/>
      </w:pPr>
    </w:lvl>
    <w:lvl w:ilvl="1" w:tplc="4198B75E">
      <w:start w:val="1"/>
      <w:numFmt w:val="bullet"/>
      <w:lvlText w:val="○"/>
      <w:lvlJc w:val="left"/>
      <w:pPr>
        <w:ind w:left="1440" w:hanging="360"/>
      </w:pPr>
    </w:lvl>
    <w:lvl w:ilvl="2" w:tplc="1BF2627C">
      <w:start w:val="1"/>
      <w:numFmt w:val="bullet"/>
      <w:lvlText w:val="■"/>
      <w:lvlJc w:val="left"/>
      <w:pPr>
        <w:ind w:left="2160" w:hanging="360"/>
      </w:pPr>
    </w:lvl>
    <w:lvl w:ilvl="3" w:tplc="8D66E53C">
      <w:start w:val="1"/>
      <w:numFmt w:val="bullet"/>
      <w:lvlText w:val="●"/>
      <w:lvlJc w:val="left"/>
      <w:pPr>
        <w:ind w:left="2880" w:hanging="360"/>
      </w:pPr>
    </w:lvl>
    <w:lvl w:ilvl="4" w:tplc="B336B350">
      <w:start w:val="1"/>
      <w:numFmt w:val="bullet"/>
      <w:lvlText w:val="○"/>
      <w:lvlJc w:val="left"/>
      <w:pPr>
        <w:ind w:left="3600" w:hanging="360"/>
      </w:pPr>
    </w:lvl>
    <w:lvl w:ilvl="5" w:tplc="B5867DD0">
      <w:start w:val="1"/>
      <w:numFmt w:val="bullet"/>
      <w:lvlText w:val="■"/>
      <w:lvlJc w:val="left"/>
      <w:pPr>
        <w:ind w:left="4320" w:hanging="360"/>
      </w:pPr>
    </w:lvl>
    <w:lvl w:ilvl="6" w:tplc="273A4444">
      <w:start w:val="1"/>
      <w:numFmt w:val="bullet"/>
      <w:lvlText w:val="●"/>
      <w:lvlJc w:val="left"/>
      <w:pPr>
        <w:ind w:left="5040" w:hanging="360"/>
      </w:pPr>
    </w:lvl>
    <w:lvl w:ilvl="7" w:tplc="2F66BDB2">
      <w:start w:val="1"/>
      <w:numFmt w:val="bullet"/>
      <w:lvlText w:val="●"/>
      <w:lvlJc w:val="left"/>
      <w:pPr>
        <w:ind w:left="5760" w:hanging="360"/>
      </w:pPr>
    </w:lvl>
    <w:lvl w:ilvl="8" w:tplc="DB247EF8">
      <w:start w:val="1"/>
      <w:numFmt w:val="bullet"/>
      <w:lvlText w:val="●"/>
      <w:lvlJc w:val="left"/>
      <w:pPr>
        <w:ind w:left="6480" w:hanging="360"/>
      </w:pPr>
    </w:lvl>
  </w:abstractNum>
  <w:num w:numId="1" w16cid:durableId="1227301311">
    <w:abstractNumId w:val="3"/>
    <w:lvlOverride w:ilvl="0">
      <w:startOverride w:val="1"/>
    </w:lvlOverride>
  </w:num>
  <w:num w:numId="2" w16cid:durableId="1814445579">
    <w:abstractNumId w:val="0"/>
    <w:lvlOverride w:ilvl="0">
      <w:startOverride w:val="1"/>
    </w:lvlOverride>
  </w:num>
  <w:num w:numId="3" w16cid:durableId="1317681316">
    <w:abstractNumId w:val="1"/>
    <w:lvlOverride w:ilvl="0">
      <w:startOverride w:val="1"/>
    </w:lvlOverride>
  </w:num>
  <w:num w:numId="4" w16cid:durableId="11680122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C4"/>
    <w:rsid w:val="00375EC4"/>
    <w:rsid w:val="009A6FCC"/>
    <w:rsid w:val="00D7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D8C5"/>
  <w15:docId w15:val="{D59FE2E1-CC5A-451E-882F-725DD091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10"/>
      <w:outlineLvl w:val="1"/>
    </w:pPr>
    <w:rPr>
      <w:b/>
      <w:bCs/>
      <w:color w:val="2A4B7C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475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737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737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5365</Words>
  <Characters>29509</Characters>
  <Application>Microsoft Office Word</Application>
  <DocSecurity>0</DocSecurity>
  <Lines>245</Lines>
  <Paragraphs>69</Paragraphs>
  <ScaleCrop>false</ScaleCrop>
  <Company/>
  <LinksUpToDate>false</LinksUpToDate>
  <CharactersWithSpaces>34805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7 — Psicodélicos y Ensayos Clínicos</dc:title>
  <dc:creator>Material de estudio</dc:creator>
  <cp:lastModifiedBy>Franco Mendez Casariego</cp:lastModifiedBy>
  <cp:revision>2</cp:revision>
  <dcterms:created xsi:type="dcterms:W3CDTF">2026-06-06T23:16:00Z</dcterms:created>
  <dcterms:modified xsi:type="dcterms:W3CDTF">2026-06-29T22:50:00Z</dcterms:modified>
</cp:coreProperties>
</file>