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809f12224f4c2a53488cb4c381c0a57d16817f2"/>
    <w:p>
      <w:pPr>
        <w:pStyle w:val="Heading1"/>
      </w:pPr>
      <w:r>
        <w:t xml:space="preserve">C23 — Actitudes y creencias frente a la muerte · Ficha de repaso</w:t>
      </w:r>
    </w:p>
    <w:p>
      <w:pPr>
        <w:pStyle w:val="RecuadroIdea"/>
      </w:pPr>
      <w:r>
        <w:rPr>
          <w:b/>
          <w:bCs/>
        </w:rPr>
        <w:t xml:space="preserve">Idea-fuerza:</w:t>
      </w:r>
      <w:r>
        <w:t xml:space="preserve"> </w:t>
      </w:r>
      <w:r>
        <w:t xml:space="preserve">Las actitudes ante la muerte se modelan con el</w:t>
      </w:r>
      <w:r>
        <w:t xml:space="preserve"> </w:t>
      </w:r>
      <w:r>
        <w:rPr>
          <w:b/>
          <w:bCs/>
        </w:rPr>
        <w:t xml:space="preserve">tiempo, el contexto y la cultura</w:t>
      </w:r>
      <w:r>
        <w:t xml:space="preserve">, y cambian con la edad (los jóvenes la evitan, los medios toman conciencia, los mayores se angustian menos). La muerte tiene aspectos</w:t>
      </w:r>
      <w:r>
        <w:t xml:space="preserve"> </w:t>
      </w:r>
      <w:r>
        <w:rPr>
          <w:b/>
          <w:bCs/>
        </w:rPr>
        <w:t xml:space="preserve">biológico, social y psicológico</w:t>
      </w:r>
      <w:r>
        <w:t xml:space="preserve">, y los</w:t>
      </w:r>
      <w:r>
        <w:t xml:space="preserve"> </w:t>
      </w:r>
      <w:r>
        <w:rPr>
          <w:b/>
          <w:bCs/>
        </w:rPr>
        <w:t xml:space="preserve">rituales</w:t>
      </w:r>
      <w:r>
        <w:t xml:space="preserve"> </w:t>
      </w:r>
      <w:r>
        <w:t xml:space="preserve">ayudan a afrontar la pérdida. Hay una</w:t>
      </w:r>
      <w:r>
        <w:t xml:space="preserve"> </w:t>
      </w:r>
      <w:r>
        <w:rPr>
          <w:b/>
          <w:bCs/>
        </w:rPr>
        <w:t xml:space="preserve">caída terminal</w:t>
      </w:r>
      <w:r>
        <w:t xml:space="preserve"> </w:t>
      </w:r>
      <w:r>
        <w:t xml:space="preserve">antes de morir.</w:t>
      </w:r>
      <w:r>
        <w:t xml:space="preserve"> </w:t>
      </w:r>
      <w:r>
        <w:rPr>
          <w:b/>
          <w:bCs/>
        </w:rPr>
        <w:t xml:space="preserve">Kübler-Ross</w:t>
      </w:r>
      <w:r>
        <w:t xml:space="preserve"> </w:t>
      </w:r>
      <w:r>
        <w:t xml:space="preserve">describe cinco reacciones ante la muerte cercana, no universales; el</w:t>
      </w:r>
      <w:r>
        <w:t xml:space="preserve"> </w:t>
      </w:r>
      <w:r>
        <w:rPr>
          <w:b/>
          <w:bCs/>
        </w:rPr>
        <w:t xml:space="preserve">duelo</w:t>
      </w:r>
      <w:r>
        <w:t xml:space="preserve"> </w:t>
      </w:r>
      <w:r>
        <w:t xml:space="preserve">tampoco lo es (cinco mitos).</w:t>
      </w:r>
      <w:r>
        <w:t xml:space="preserve"> </w:t>
      </w:r>
      <w:r>
        <w:rPr>
          <w:b/>
          <w:bCs/>
        </w:rPr>
        <w:t xml:space="preserve">Educación para la muerte</w:t>
      </w:r>
      <w:r>
        <w:t xml:space="preserve">,</w:t>
      </w:r>
      <w:r>
        <w:t xml:space="preserve"> </w:t>
      </w:r>
      <w:r>
        <w:rPr>
          <w:b/>
          <w:bCs/>
        </w:rPr>
        <w:t xml:space="preserve">cuidados paliativos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eutanasia</w:t>
      </w:r>
      <w:r>
        <w:t xml:space="preserve"> </w:t>
      </w:r>
      <w:r>
        <w:t xml:space="preserve">completan la clase (Cátedra de Psicología Evolutiva, 2026i, diapositivas 3, 5-8, 10-12, 16-24; Papalia et al., 2009b, pp. 478-487).</w:t>
      </w:r>
    </w:p>
    <w:p>
      <w:pPr>
        <w:pStyle w:val="BodyText"/>
      </w:pPr>
      <w:r>
        <w:drawing>
          <wp:inline>
            <wp:extent cx="5759999" cy="1087346"/>
            <wp:effectExtent b="0" l="0" r="0" t="0"/>
            <wp:docPr descr="Diagrama 01" title="" id="10" name="Picture"/>
            <a:graphic>
              <a:graphicData uri="http://schemas.openxmlformats.org/drawingml/2006/picture">
                <pic:pic>
                  <pic:nvPicPr>
                    <pic:cNvPr descr="C:/Users/Fmendezcasariego/OneDrive/Carpetas/Educación/Universidad/Favaloro/Psicología/2do%20Año/Psicología%20Evolutiva/3_Guias_de_Estudio/_media/C23_MuerteYDuelo_Repaso_0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087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" w:name="esqueletos-de-respuesta"/>
    <w:p>
      <w:pPr>
        <w:pStyle w:val="Heading2"/>
      </w:pPr>
      <w:r>
        <w:t xml:space="preserve">Esqueletos de respuesta</w:t>
      </w:r>
    </w:p>
    <w:p>
      <w:pPr>
        <w:pStyle w:val="FirstParagraph"/>
      </w:pPr>
      <w:r>
        <w:rPr>
          <w:b/>
          <w:bCs/>
        </w:rPr>
        <w:t xml:space="preserve">P1. Actitudes según la edad.</w:t>
      </w:r>
      <w:r>
        <w:t xml:space="preserve"> </w:t>
      </w:r>
      <w:r>
        <w:t xml:space="preserve">1) Joven: evita pensarla; fábula personal (p. 483). 2) Media: toma conciencia; cuántos años me quedan; reanalizar la vida (pp. 483-484). 3) Vejez: menos ansiedad; estrategias centradas en la emoción; integridad vs. desesperación (p. 484).</w:t>
      </w:r>
    </w:p>
    <w:p>
      <w:pPr>
        <w:pStyle w:val="BodyText"/>
      </w:pPr>
      <w:r>
        <w:rPr>
          <w:b/>
          <w:bCs/>
        </w:rPr>
        <w:t xml:space="preserve">P2. Aspectos de la muerte y rituales.</w:t>
      </w:r>
      <w:r>
        <w:t xml:space="preserve"> </w:t>
      </w:r>
      <w:r>
        <w:t xml:space="preserve">Biológico: cesan la respiración y el latido o la actividad cerebral (p. 479). Social: actitudes y cuidado, dónde ocurre, voluntad del difunto, rituales, herencia (pp. 479-481). Psicológico: sentimientos ante la propia muerte y la ajena; los rituales dan algo que hacer, permiten interactuar con el fallecido y afirman a la comunidad (p. 480).</w:t>
      </w:r>
    </w:p>
    <w:p>
      <w:pPr>
        <w:pStyle w:val="BodyText"/>
      </w:pPr>
      <w:r>
        <w:rPr>
          <w:b/>
          <w:bCs/>
        </w:rPr>
        <w:t xml:space="preserve">P3. Caída terminal.</w:t>
      </w:r>
      <w:r>
        <w:t xml:space="preserve"> </w:t>
      </w:r>
      <w:r>
        <w:t xml:space="preserve">Súbito descenso intelectual poco antes de morir; sin importar salud, nivel socioeconómico, género ni causa; afecta incluso el vocabulario; puede predecir la muerte en pocos años (p. 485).</w:t>
      </w:r>
    </w:p>
    <w:p>
      <w:pPr>
        <w:pStyle w:val="BodyText"/>
      </w:pPr>
      <w:r>
        <w:rPr>
          <w:b/>
          <w:bCs/>
        </w:rPr>
        <w:t xml:space="preserve">P4. Kübler-Ross.</w:t>
      </w:r>
      <w:r>
        <w:t xml:space="preserve"> </w:t>
      </w:r>
      <w:r>
        <w:t xml:space="preserve">Cinco reacciones (negación, ira, negociación, depresión, aceptación) en ~500 pacientes; críticas: no son verdaderas etapas, no secuenciales, no criterio de «buen morir» (p. 487).</w:t>
      </w:r>
    </w:p>
    <w:p>
      <w:pPr>
        <w:pStyle w:val="BodyText"/>
      </w:pPr>
      <w:r>
        <w:rPr>
          <w:b/>
          <w:bCs/>
        </w:rPr>
        <w:t xml:space="preserve">P5. Duelo.</w:t>
      </w:r>
      <w:r>
        <w:t xml:space="preserve"> </w:t>
      </w:r>
      <w:r>
        <w:t xml:space="preserve">Fases: conmoción e incredulidad, preocupación por la memoria, resolución (pp. 492-493). Cinco creencias que son más mito que realidad: todos se deprimen, quien no muestra aflicción tendrá problemas, hay que «trabajar» la pérdida, el dolor termina pronto, siempre se acepta (pp. 493-494).</w:t>
      </w:r>
    </w:p>
    <w:p>
      <w:pPr>
        <w:pStyle w:val="BodyText"/>
      </w:pPr>
      <w:r>
        <w:rPr>
          <w:b/>
          <w:bCs/>
        </w:rPr>
        <w:t xml:space="preserve">P6. Paliativos y dignidad.</w:t>
      </w:r>
      <w:r>
        <w:t xml:space="preserve"> </w:t>
      </w:r>
      <w:r>
        <w:t xml:space="preserve">Atención paliativa: alivio del dolor, control de síntomas y calidad de vida; morir en paz y con dignidad (pp. 481-482). La dignidad depende de cómo son tratados y de cómo son vistos los pacientes (Chochinov; p. 482).</w:t>
      </w:r>
    </w:p>
    <w:p>
      <w:pPr>
        <w:pStyle w:val="BodyText"/>
      </w:pPr>
      <w:r>
        <w:rPr>
          <w:b/>
          <w:bCs/>
        </w:rPr>
        <w:t xml:space="preserve">P7. Eutanasia.</w:t>
      </w:r>
      <w:r>
        <w:t xml:space="preserve"> </w:t>
      </w:r>
      <w:r>
        <w:t xml:space="preserve">Tipos: voluntaria o no voluntaria; activa o pasiva (diapositiva 22). A favor: autonomía y dignidad, aliviar el sufrimiento, regular lo que ya ocurre (p. 512). En contra: quitar una vida está mal, presión sobre los desventajados, mal diagnóstico, coerción y juicios (p. 513).</w:t>
      </w:r>
    </w:p>
    <w:bookmarkEnd w:id="12"/>
    <w:bookmarkStart w:id="13" w:name="no-confundir"/>
    <w:p>
      <w:pPr>
        <w:pStyle w:val="Heading2"/>
      </w:pPr>
      <w:r>
        <w:t xml:space="preserve">No confundir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Fábula 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Conciencia de la mortalidad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«A mí no me pasa» (jóvenes) / «me van a quedar pocos años» (adultez media) (pp. 483-484)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Muerte biológica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/ psicológica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Cese de procesos corporales / rituales, cuidado y herencia / sentimientos (pp. 479-480)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Caída 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Declive cognitivo 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Descenso súbito poco antes de morir, aun en vocabulario / gradual y selectivo (p. 485)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Etapas de Kübler-Ross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Fases del duelo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Reacciones ante la propia muerte cercana / proceso de los sobrevivientes (pp. 487, 492-493)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Eutanasia voluntaria / no voluntaria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 / pasiva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se conoce la voluntad del paciente / si se actúa o se omite el tratamiento (diapositiva 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Cuidado paliativo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Eutanasia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Alivia y acompaña sin acelerar la muerte / apresura o causa la muerte (diapositivas 19, 22)</w:t>
            </w:r>
          </w:p>
        </w:tc>
      </w:tr>
    </w:tbl>
    <w:bookmarkEnd w:id="13"/>
    <w:bookmarkStart w:id="14" w:name="datos-que-conviene-saber"/>
    <w:p>
      <w:pPr>
        <w:pStyle w:val="Heading2"/>
      </w:pPr>
      <w:r>
        <w:t xml:space="preserve">Datos que conviene saber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Baby boomers</w:t>
      </w:r>
      <w:r>
        <w:t xml:space="preserve">: primera generación con solo</w:t>
      </w:r>
      <w:r>
        <w:t xml:space="preserve"> </w:t>
      </w:r>
      <w:r>
        <w:rPr>
          <w:b/>
          <w:bCs/>
        </w:rPr>
        <w:t xml:space="preserve">5 %</w:t>
      </w:r>
      <w:r>
        <w:t xml:space="preserve"> </w:t>
      </w:r>
      <w:r>
        <w:t xml:space="preserve">de probabilidad de haber vivido una muerte cercana (Cátedra de Psicología Evolutiva, 2026i, diapositiva 3).</w:t>
      </w:r>
    </w:p>
    <w:p>
      <w:pPr>
        <w:pStyle w:val="Compact"/>
        <w:numPr>
          <w:ilvl w:val="0"/>
          <w:numId w:val="1001"/>
        </w:numPr>
      </w:pPr>
      <w:r>
        <w:t xml:space="preserve">Chochinov: pregunta a</w:t>
      </w:r>
      <w:r>
        <w:t xml:space="preserve"> </w:t>
      </w:r>
      <w:r>
        <w:rPr>
          <w:b/>
          <w:bCs/>
        </w:rPr>
        <w:t xml:space="preserve">50 pacientes terminales</w:t>
      </w:r>
      <w:r>
        <w:t xml:space="preserve"> </w:t>
      </w:r>
      <w:r>
        <w:t xml:space="preserve">en cuidados paliativos (Papalia et al., 2009b, p. 482).</w:t>
      </w:r>
    </w:p>
    <w:p>
      <w:pPr>
        <w:pStyle w:val="Compact"/>
        <w:numPr>
          <w:ilvl w:val="0"/>
          <w:numId w:val="1001"/>
        </w:numPr>
      </w:pPr>
      <w:r>
        <w:t xml:space="preserve">Objetivos de la educación para la muerte: apaciguar ansiedades, desarrollar creencias propias, ver la muerte como fin natural, tratar humanamente al moribundo, ayudar con el duelo y los servicios funerarios (p. 481).</w:t>
      </w:r>
    </w:p>
    <w:bookmarkEnd w:id="14"/>
    <w:bookmarkStart w:id="15" w:name="referencias"/>
    <w:p>
      <w:pPr>
        <w:pStyle w:val="Heading2"/>
      </w:pPr>
      <w:r>
        <w:t xml:space="preserve">Referencias</w:t>
      </w:r>
    </w:p>
    <w:p>
      <w:pPr>
        <w:pStyle w:val="FirstParagraph"/>
      </w:pPr>
      <w:r>
        <w:t xml:space="preserve">Cátedra de Psicología Evolutiva. (2026i).</w:t>
      </w:r>
      <w:r>
        <w:t xml:space="preserve"> </w:t>
      </w:r>
      <w:r>
        <w:rPr>
          <w:i/>
          <w:iCs/>
        </w:rPr>
        <w:t xml:space="preserve">Actitudes y creencias frente a la muerte</w:t>
      </w:r>
      <w:r>
        <w:t xml:space="preserve"> </w:t>
      </w:r>
      <w:r>
        <w:t xml:space="preserve">[Diapositivas de clase, unidad 10]. Universidad Favaloro.</w:t>
      </w:r>
    </w:p>
    <w:p>
      <w:pPr>
        <w:pStyle w:val="BodyText"/>
      </w:pPr>
      <w:r>
        <w:t xml:space="preserve">Papalia, D. E., Sterns, H. L., Feldman, R. D., &amp; Camp, C. J. (2009b). Lidiar con la muerte y las pérdidas. En</w:t>
      </w:r>
      <w:r>
        <w:t xml:space="preserve"> </w:t>
      </w:r>
      <w:r>
        <w:rPr>
          <w:i/>
          <w:iCs/>
        </w:rPr>
        <w:t xml:space="preserve">Desarrollo del adulto y vejez</w:t>
      </w:r>
      <w:r>
        <w:t xml:space="preserve"> </w:t>
      </w:r>
      <w:r>
        <w:t xml:space="preserve">(cap. 13, pp. 476-521). McGraw Hill Interamericana.</w:t>
      </w:r>
    </w:p>
    <w:bookmarkEnd w:id="15"/>
    <w:bookmarkStart w:id="16" w:name="autoevaluación-rápida"/>
    <w:p>
      <w:pPr>
        <w:pStyle w:val="Heading2"/>
      </w:pPr>
      <w:r>
        <w:t xml:space="preserve">Autoevaluación rápida</w:t>
      </w:r>
    </w:p>
    <w:p>
      <w:pPr>
        <w:pStyle w:val="Compact"/>
        <w:numPr>
          <w:ilvl w:val="0"/>
          <w:numId w:val="1002"/>
        </w:numPr>
      </w:pPr>
      <w:r>
        <w:t xml:space="preserve">¿Qué actitud hacia la muerte predomina en cada etapa adulta?</w:t>
      </w:r>
    </w:p>
    <w:p>
      <w:pPr>
        <w:pStyle w:val="Compact"/>
        <w:numPr>
          <w:ilvl w:val="0"/>
          <w:numId w:val="1002"/>
        </w:numPr>
      </w:pPr>
      <w:r>
        <w:t xml:space="preserve">¿Qué es la fábula personal y cuándo desaparece?</w:t>
      </w:r>
    </w:p>
    <w:p>
      <w:pPr>
        <w:pStyle w:val="Compact"/>
        <w:numPr>
          <w:ilvl w:val="0"/>
          <w:numId w:val="1002"/>
        </w:numPr>
      </w:pPr>
      <w:r>
        <w:t xml:space="preserve">Los tres aspectos de la muerte y las tres funciones de los rituales.</w:t>
      </w:r>
    </w:p>
    <w:p>
      <w:pPr>
        <w:pStyle w:val="Compact"/>
        <w:numPr>
          <w:ilvl w:val="0"/>
          <w:numId w:val="1002"/>
        </w:numPr>
      </w:pPr>
      <w:r>
        <w:t xml:space="preserve">¿Qué es la caída terminal y qué habilidades afecta?</w:t>
      </w:r>
    </w:p>
    <w:p>
      <w:pPr>
        <w:pStyle w:val="Compact"/>
        <w:numPr>
          <w:ilvl w:val="0"/>
          <w:numId w:val="1002"/>
        </w:numPr>
      </w:pPr>
      <w:r>
        <w:t xml:space="preserve">Las cinco reacciones de Kübler-Ross y dos críticas.</w:t>
      </w:r>
    </w:p>
    <w:p>
      <w:pPr>
        <w:pStyle w:val="Compact"/>
        <w:numPr>
          <w:ilvl w:val="0"/>
          <w:numId w:val="1002"/>
        </w:numPr>
      </w:pPr>
      <w:r>
        <w:t xml:space="preserve">Fases del duelo y las cinco creencias que son mito.</w:t>
      </w:r>
    </w:p>
    <w:p>
      <w:pPr>
        <w:pStyle w:val="Compact"/>
        <w:numPr>
          <w:ilvl w:val="0"/>
          <w:numId w:val="1002"/>
        </w:numPr>
      </w:pPr>
      <w:r>
        <w:t xml:space="preserve">¿Qué es un cuidado paliativo y qué mostró Chochinov sobre la dignidad?</w:t>
      </w:r>
    </w:p>
    <w:p>
      <w:pPr>
        <w:pStyle w:val="Compact"/>
        <w:numPr>
          <w:ilvl w:val="0"/>
          <w:numId w:val="1002"/>
        </w:numPr>
      </w:pPr>
      <w:r>
        <w:t xml:space="preserve">Eutanasia: tipos y dos argumentos a favor y dos en contra.</w:t>
      </w:r>
    </w:p>
    <w:bookmarkEnd w:id="16"/>
    <w:bookmarkEnd w:id="17"/>
    <w:sectPr>
      <w:headerReference r:id="rIdHdr1" w:type="default"/>
      <w:footerReference r:id="rIdFtr1" w:type="default"/>
      <w:pgSz w:h="16838" w:w="11906"/>
      <w:pgMar w:bottom="720" w:footer="397" w:gutter="0" w:header="397" w:left="720" w:right="1701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PieGuia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EncabezadoGuia"/>
    </w:pPr>
    <w:r>
      <w:t xml:space="preserve">C23 — Actitudes y creencias frente a la muerte · Ficha de repaso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  <w:jc w:val="both"/>
    </w:pPr>
    <w:rPr>
      <w:rFonts w:ascii="Calibri" w:hAnsi="Calibri"/>
      <w:color w:val="14202B"/>
      <w:sz w:val="22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Calibri" w:hAnsi="Calibri"/>
      <w:color w:val="14202B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Calibri" w:hAnsi="Calibri"/>
      <w:color w:val="14202B"/>
      <w:sz w:val="22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Calibri" w:hAnsi="Calibri"/>
      <w:color w:val="14202B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200"/>
      <w:jc w:val="left"/>
    </w:pPr>
    <w:rPr>
      <w:rFonts w:ascii="Calibri" w:asciiTheme="majorHAnsi" w:cstheme="majorBidi" w:eastAsiaTheme="majorEastAsia" w:hAnsi="Calibri" w:hAnsiTheme="majorHAnsi"/>
      <w:b/>
      <w:bCs/>
      <w:color w:val="0F6B66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left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left"/>
    </w:pPr>
  </w:style>
  <w:style w:styleId="Date" w:type="paragraph">
    <w:name w:val="Date"/>
    <w:next w:val="BodyText"/>
    <w:qFormat/>
    <w:pPr>
      <w:keepNext/>
      <w:keepLines/>
      <w:jc w:val="left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left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jc w:val="left"/>
      <w:outlineLvl w:val="0"/>
    </w:pPr>
    <w:rPr>
      <w:rFonts w:ascii="Calibri" w:asciiTheme="majorHAnsi" w:cstheme="majorBidi" w:eastAsiaTheme="majorEastAsia" w:hAnsi="Calibri" w:hAnsiTheme="majorHAnsi"/>
      <w:b/>
      <w:bCs/>
      <w:color w:val="0F6B66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jc w:val="left"/>
      <w:outlineLvl w:val="1"/>
    </w:pPr>
    <w:rPr>
      <w:rFonts w:ascii="Calibri" w:asciiTheme="majorHAnsi" w:cstheme="majorBidi" w:eastAsiaTheme="majorEastAsia" w:hAnsi="Calibri" w:hAnsiTheme="majorHAnsi"/>
      <w:b/>
      <w:bCs/>
      <w:color w:val="0F6B66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2"/>
    </w:pPr>
    <w:rPr>
      <w:rFonts w:ascii="Calibri" w:asciiTheme="majorHAnsi" w:cstheme="majorBidi" w:eastAsiaTheme="majorEastAsia" w:hAnsi="Calibri" w:hAnsiTheme="majorHAnsi"/>
      <w:b/>
      <w:bCs/>
      <w:color w:val="0F6B66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3"/>
    </w:pPr>
    <w:rPr>
      <w:rFonts w:ascii="Calibri" w:asciiTheme="majorHAnsi" w:cstheme="majorBidi" w:eastAsiaTheme="majorEastAsia" w:hAnsi="Calibri" w:hAnsiTheme="majorHAnsi"/>
      <w:i/>
      <w:b/>
      <w:bCs/>
      <w:color w:val="14202B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C9D1D9" w:space="8" w:sz="12" w:val="single"/>
      </w:pBdr>
      <w:spacing w:after="100" w:before="100"/>
      <w:ind w:firstLine="0" w:left="454" w:right="480"/>
    </w:pPr>
    <w:rPr>
      <w:rFonts w:ascii="Calibri" w:hAnsi="Calibri"/>
      <w:color w:val="5D6B78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left"/>
    </w:pPr>
    <w:rPr>
      <w:i/>
      <w:color w:val="5D6B78"/>
      <w:sz w:val="18"/>
    </w:rPr>
  </w:style>
  <w:style w:customStyle="1" w:styleId="TableCaption" w:type="paragraph">
    <w:name w:val="Table Caption"/>
    <w:basedOn w:val="Caption"/>
    <w:pPr>
      <w:keepNext/>
      <w:jc w:val="left"/>
    </w:pPr>
    <w:rPr>
      <w:color w:val="5D6B78"/>
      <w:sz w:val="18"/>
    </w:rPr>
  </w:style>
  <w:style w:customStyle="1" w:styleId="ImageCaption" w:type="paragraph">
    <w:name w:val="Image Caption"/>
    <w:basedOn w:val="Caption"/>
    <w:pPr>
      <w:jc w:val="left"/>
    </w:pPr>
    <w:rPr>
      <w:color w:val="5D6B78"/>
      <w:sz w:val="18"/>
    </w:rPr>
  </w:style>
  <w:style w:customStyle="1" w:styleId="Figure" w:type="paragraph">
    <w:name w:val="Figure"/>
    <w:basedOn w:val="Normal"/>
    <w:pPr>
      <w:jc w:val="center"/>
    </w:pPr>
  </w:style>
  <w:style w:customStyle="1" w:styleId="CaptionedFigure" w:type="paragraph">
    <w:name w:val="Captioned Figure"/>
    <w:basedOn w:val="Figure"/>
    <w:pPr>
      <w:keepNext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ecuadroIdea" w:type="paragraph">
    <w:name w:val="Recuadro Idea"/>
    <w:basedOn w:val="BodyText"/>
    <w:uiPriority w:val="10"/>
    <w:qFormat/>
    <w:pPr>
      <w:pBdr>
        <w:top w:color="EAF2FC" w:space="4" w:sz="4" w:val="single"/>
        <w:left w:color="2F6DB5" w:space="8" w:sz="24" w:val="single"/>
        <w:bottom w:color="EAF2FC" w:space="4" w:sz="4" w:val="single"/>
        <w:right w:color="EAF2FC" w:space="8" w:sz="4" w:val="single"/>
      </w:pBdr>
      <w:shd w:color="auto" w:fill="EAF2F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lave" w:type="paragraph">
    <w:name w:val="Recuadro Clave"/>
    <w:basedOn w:val="BodyText"/>
    <w:uiPriority w:val="10"/>
    <w:qFormat/>
    <w:pPr>
      <w:pBdr>
        <w:top w:color="FFF6DC" w:space="4" w:sz="4" w:val="single"/>
        <w:left w:color="D9A21B" w:space="8" w:sz="24" w:val="single"/>
        <w:bottom w:color="FFF6DC" w:space="4" w:sz="4" w:val="single"/>
        <w:right w:color="FFF6DC" w:space="8" w:sz="4" w:val="single"/>
      </w:pBdr>
      <w:shd w:color="auto" w:fill="FFF6D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Parcial" w:type="paragraph">
    <w:name w:val="Recuadro Parcial"/>
    <w:basedOn w:val="BodyText"/>
    <w:uiPriority w:val="10"/>
    <w:qFormat/>
    <w:pPr>
      <w:pBdr>
        <w:top w:color="E8F5EC" w:space="4" w:sz="4" w:val="single"/>
        <w:left w:color="2E8B57" w:space="8" w:sz="24" w:val="single"/>
        <w:bottom w:color="E8F5EC" w:space="4" w:sz="4" w:val="single"/>
        <w:right w:color="E8F5EC" w:space="8" w:sz="4" w:val="single"/>
      </w:pBdr>
      <w:shd w:color="auto" w:fill="E8F5E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Esqueleto" w:type="paragraph">
    <w:name w:val="Recuadro Esqueleto"/>
    <w:basedOn w:val="BodyText"/>
    <w:uiPriority w:val="10"/>
    <w:qFormat/>
    <w:pPr>
      <w:pBdr>
        <w:top w:color="E3F2F1" w:space="4" w:sz="4" w:val="single"/>
        <w:left w:color="0F6B66" w:space="8" w:sz="24" w:val="single"/>
        <w:bottom w:color="E3F2F1" w:space="4" w:sz="4" w:val="single"/>
        <w:right w:color="E3F2F1" w:space="8" w:sz="4" w:val="single"/>
      </w:pBdr>
      <w:shd w:color="auto" w:fill="E3F2F1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Atencion" w:type="paragraph">
    <w:name w:val="Recuadro Atencion"/>
    <w:basedOn w:val="BodyText"/>
    <w:uiPriority w:val="10"/>
    <w:qFormat/>
    <w:pPr>
      <w:pBdr>
        <w:top w:color="FDECEA" w:space="4" w:sz="4" w:val="single"/>
        <w:left w:color="C0392B" w:space="8" w:sz="24" w:val="single"/>
        <w:bottom w:color="FDECEA" w:space="4" w:sz="4" w:val="single"/>
        <w:right w:color="FDECEA" w:space="8" w:sz="4" w:val="single"/>
      </w:pBdr>
      <w:shd w:color="auto" w:fill="FDECEA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omplemento" w:type="paragraph">
    <w:name w:val="Recuadro Complemento"/>
    <w:basedOn w:val="BodyText"/>
    <w:uiPriority w:val="10"/>
    <w:qFormat/>
    <w:pPr>
      <w:pBdr>
        <w:top w:color="F2F4F6" w:space="4" w:sz="4" w:val="single"/>
        <w:left w:color="8A96A3" w:space="8" w:sz="24" w:val="single"/>
        <w:bottom w:color="F2F4F6" w:space="4" w:sz="4" w:val="single"/>
        <w:right w:color="F2F4F6" w:space="8" w:sz="4" w:val="single"/>
      </w:pBdr>
      <w:shd w:color="auto" w:fill="F2F4F6" w:val="clear"/>
      <w:spacing w:after="40" w:before="40" w:line="264" w:lineRule="auto"/>
      <w:ind w:left="227" w:right="227"/>
    </w:pPr>
    <w:rPr>
      <w:color w:val="3D4A57"/>
      <w:sz w:val="21"/>
      <w:szCs w:val="21"/>
    </w:rPr>
  </w:style>
  <w:style w:customStyle="1" w:styleId="RecuadroFuente" w:type="paragraph">
    <w:name w:val="Recuadro Fuente"/>
    <w:basedOn w:val="BodyText"/>
    <w:uiPriority w:val="10"/>
    <w:qFormat/>
    <w:pPr>
      <w:pBdr>
        <w:top w:color="F7F8FA" w:space="4" w:sz="4" w:val="single"/>
        <w:left w:color="C9D1D9" w:space="8" w:sz="24" w:val="single"/>
        <w:bottom w:color="F7F8FA" w:space="4" w:sz="4" w:val="single"/>
        <w:right w:color="F7F8FA" w:space="8" w:sz="4" w:val="single"/>
      </w:pBdr>
      <w:shd w:color="auto" w:fill="F7F8FA" w:val="clear"/>
      <w:spacing w:after="40" w:before="40" w:line="264" w:lineRule="auto"/>
      <w:ind w:left="227" w:right="227"/>
    </w:pPr>
    <w:rPr>
      <w:color w:val="3D4A57"/>
      <w:sz w:val="19"/>
      <w:szCs w:val="19"/>
    </w:rPr>
  </w:style>
  <w:style w:customStyle="1" w:styleId="EncabezadoGuia" w:type="paragraph">
    <w:name w:val="Encabezado guia"/>
    <w:basedOn w:val="Normal"/>
    <w:pPr>
      <w:pBdr>
        <w:bottom w:color="C9D1D9" w:space="2" w:sz="4" w:val="single"/>
      </w:pBdr>
      <w:jc w:val="right"/>
      <w:spacing w:after="0"/>
    </w:pPr>
    <w:rPr>
      <w:color w:val="5D6B78"/>
      <w:sz w:val="17"/>
    </w:rPr>
  </w:style>
  <w:style w:customStyle="1" w:styleId="PieGuia" w:type="paragraph">
    <w:name w:val="Pie guia"/>
    <w:basedOn w:val="Normal"/>
    <w:pPr>
      <w:jc w:val="center"/>
      <w:spacing w:after="0"/>
    </w:pPr>
    <w:rPr>
      <w:color w:val="5D6B78"/>
      <w:sz w:val="17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Ftr1" Target="footer1.xml" Type="http://schemas.openxmlformats.org/officeDocument/2006/relationships/footer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2026-10-27T21:46:46Z</dcterms:created>
  <dcterms:modified xsi:type="dcterms:W3CDTF">2026-10-27T21:46:46Z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n_saltos">
    <vt:lpwstr>True</vt:lpwstr>
  </property>
</Properties>
</file>