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9CEE" w14:textId="77777777" w:rsidR="005E491F" w:rsidRDefault="00B01E08" w:rsidP="00B01E08">
      <w:pPr>
        <w:pStyle w:val="Ttulo1"/>
        <w:jc w:val="both"/>
      </w:pPr>
      <w:bookmarkStart w:id="0" w:name="X05ce0afde5a4afe24dd0b7cc0dedfd6a42e1846"/>
      <w:r>
        <w:t>Revisión Crítica: Motivación académica para la elección de temas de investigación en estudiantes de danza</w:t>
      </w:r>
    </w:p>
    <w:p w14:paraId="3F869CEF" w14:textId="77777777" w:rsidR="005E491F" w:rsidRDefault="00B01E08" w:rsidP="00B01E08">
      <w:pPr>
        <w:pStyle w:val="Ttulo2"/>
        <w:jc w:val="both"/>
      </w:pPr>
      <w:bookmarkStart w:id="1" w:name="Xe493fd3726cb2d345a6db05f67f1d0e15926889"/>
      <w:r>
        <w:t>1. Marco Teórico</w:t>
      </w:r>
    </w:p>
    <w:p w14:paraId="3F869CF0" w14:textId="77777777" w:rsidR="005E491F" w:rsidRDefault="00B01E08" w:rsidP="00B01E08">
      <w:pPr>
        <w:pStyle w:val="FirstParagraph"/>
        <w:jc w:val="both"/>
      </w:pPr>
      <w:r>
        <w:t>En base a los Apuntes Extendidos de la asignatura, la motivación se define como las fuerzas internas y/o externas que inician y dirigen la conducta (Apunte I). Dado que es un proceso intangible, no se observa directamente, sino que se infiere a partir de l</w:t>
      </w:r>
      <w:r>
        <w:t>a conducta observable mediante un modelo dinámico de interacciones organismo-ambiente (Woodworth, modelo S-O-R).</w:t>
      </w:r>
    </w:p>
    <w:p w14:paraId="3F869CF1" w14:textId="77777777" w:rsidR="005E491F" w:rsidRDefault="00B01E08" w:rsidP="00B01E08">
      <w:pPr>
        <w:pStyle w:val="Textoindependiente"/>
        <w:jc w:val="both"/>
      </w:pPr>
      <w:r>
        <w:t xml:space="preserve">En el ámbito del aprendizaje y la elección de metas, son fundamentales las </w:t>
      </w:r>
      <w:r>
        <w:rPr>
          <w:b/>
          <w:bCs/>
        </w:rPr>
        <w:t>Perspectivas Cognitivas</w:t>
      </w:r>
      <w:r>
        <w:t xml:space="preserve"> de la motivación. Estas sostienen que la con</w:t>
      </w:r>
      <w:r>
        <w:t>ducta no es reactiva sino intencional (Tolman), y surge de una evaluación en la que interactúan la probabilidad subjetiva de éxito y el valor o atracción de la meta (Teoría Expectativa-Valor de Rotter, Autoeficacia de Bandura y Motivación de Logro de Atkin</w:t>
      </w:r>
      <w:r>
        <w:t>son) (Apunte III).</w:t>
      </w:r>
    </w:p>
    <w:p w14:paraId="3F869CF2" w14:textId="77777777" w:rsidR="005E491F" w:rsidRDefault="00B01E08" w:rsidP="00B01E08">
      <w:pPr>
        <w:pStyle w:val="Textoindependiente"/>
        <w:jc w:val="both"/>
      </w:pPr>
      <w:r>
        <w:t xml:space="preserve">Por su parte, la </w:t>
      </w:r>
      <w:r>
        <w:rPr>
          <w:b/>
          <w:bCs/>
        </w:rPr>
        <w:t>Teoría de la Autodeterminación (Ryan y Deci)</w:t>
      </w:r>
      <w:r>
        <w:t xml:space="preserve"> resulta central para comprender el continuo de la motivación humana. Lejos de ser compartimentos estancos, postula que la motivación abarca desde niveles puramente extrínsecos</w:t>
      </w:r>
      <w:r>
        <w:t xml:space="preserve"> (causados por el medio) hasta intrínsecos (orientados por competencia, autonomía y el placer genuino), remarcando que, a través de la matriz social, los impulsos extrínsecos pueden internalizarse (Apuntes I y III).</w:t>
      </w:r>
    </w:p>
    <w:p w14:paraId="3F869CF3" w14:textId="77777777" w:rsidR="005E491F" w:rsidRDefault="00B01E08" w:rsidP="00B01E08">
      <w:pPr>
        <w:pStyle w:val="Textoindependiente"/>
        <w:jc w:val="both"/>
      </w:pPr>
      <w:r>
        <w:t xml:space="preserve">Finalmente, los modernos </w:t>
      </w:r>
      <w:r>
        <w:rPr>
          <w:b/>
          <w:bCs/>
        </w:rPr>
        <w:t>Modelos Enactiv</w:t>
      </w:r>
      <w:r>
        <w:rPr>
          <w:b/>
          <w:bCs/>
        </w:rPr>
        <w:t>os</w:t>
      </w:r>
      <w:r>
        <w:t xml:space="preserve"> asumen que la motivación es un sistema dinámico y emergente. No es una fuerza abstracta que antecede mecánicamente a la conducta, sino que se construye en el aquí y ahora de la acción, a través del acoplamiento sensoriomotor continuo entre el individuo </w:t>
      </w:r>
      <w:r>
        <w:t>y su entorno (Apuntes I y III).</w:t>
      </w:r>
    </w:p>
    <w:p w14:paraId="3F869CF4" w14:textId="77777777" w:rsidR="005E491F" w:rsidRDefault="00B01E08" w:rsidP="00B01E08">
      <w:pPr>
        <w:pStyle w:val="Ttulo2"/>
        <w:jc w:val="both"/>
      </w:pPr>
      <w:bookmarkStart w:id="2" w:name="X0d60d27d12cafb7173de735d30391ef712bd866"/>
      <w:bookmarkEnd w:id="1"/>
      <w:r>
        <w:t>2. Antecedentes</w:t>
      </w:r>
    </w:p>
    <w:p w14:paraId="3F869CF5" w14:textId="77777777" w:rsidR="005E491F" w:rsidRDefault="00B01E08" w:rsidP="00B01E08">
      <w:pPr>
        <w:pStyle w:val="FirstParagraph"/>
        <w:jc w:val="both"/>
      </w:pPr>
      <w:r>
        <w:t>El artículo base de Anaya Figueroa (2021) aborda la motivación académica en la elección de temas de investigación por parte de estudiantes de la carrera de danza folklórica en el Perú.</w:t>
      </w:r>
    </w:p>
    <w:p w14:paraId="3F869CF6" w14:textId="77777777" w:rsidR="005E491F" w:rsidRDefault="00B01E08" w:rsidP="00B01E08">
      <w:pPr>
        <w:pStyle w:val="Textoindependiente"/>
        <w:jc w:val="both"/>
      </w:pPr>
      <w:r>
        <w:t xml:space="preserve">El trabajo parte de la </w:t>
      </w:r>
      <w:r>
        <w:t>premisa de que los estudiantes de educación superior necesitan estímulos persistentes para llevar a cabo una investigación conducente a un título. El objetivo del autor es identificar y categorizar qué factores impulsan la motivación de los alumnos —clasif</w:t>
      </w:r>
      <w:r>
        <w:t xml:space="preserve">icándolos apriorísticamente en intrínsecos (ligados a experiencias vitales) y extrínsecos (derivados del entorno social)—, y a su </w:t>
      </w:r>
      <w:r>
        <w:lastRenderedPageBreak/>
        <w:t xml:space="preserve">vez, caracterizar la tipología y regiones de procedencia de las danzas elegidas, asumiendo una fuerte relación de la elección </w:t>
      </w:r>
      <w:r>
        <w:t>de los proyectos con la identidad cultural.</w:t>
      </w:r>
    </w:p>
    <w:p w14:paraId="3F869CF7" w14:textId="77777777" w:rsidR="005E491F" w:rsidRDefault="00B01E08" w:rsidP="00B01E08">
      <w:pPr>
        <w:pStyle w:val="Ttulo2"/>
        <w:jc w:val="both"/>
      </w:pPr>
      <w:bookmarkStart w:id="3" w:name="X37d519c0407793a192f4b7bea6a950e275734de"/>
      <w:bookmarkEnd w:id="2"/>
      <w:r>
        <w:t>3. Experimento y Métodos</w:t>
      </w:r>
    </w:p>
    <w:p w14:paraId="3F869CF8" w14:textId="77777777" w:rsidR="005E491F" w:rsidRDefault="00B01E08" w:rsidP="00B01E08">
      <w:pPr>
        <w:pStyle w:val="FirstParagraph"/>
        <w:jc w:val="both"/>
      </w:pPr>
      <w:r>
        <w:t>Se trata de un estudio cualitativo con diseño de estudio de caso. La población de interés incluyó estudiantes de una escuela nacional de arte en Lima (estudiantes con raíces andinas en gr</w:t>
      </w:r>
      <w:r>
        <w:t>an proporción).</w:t>
      </w:r>
    </w:p>
    <w:p w14:paraId="3F869CF9" w14:textId="77777777" w:rsidR="005E491F" w:rsidRDefault="00B01E08" w:rsidP="00B01E08">
      <w:pPr>
        <w:pStyle w:val="Textoindependiente"/>
        <w:jc w:val="both"/>
      </w:pPr>
      <w:r>
        <w:t>Se trabajó con una muestra de 33 alumnos del noveno ciclo que cursaban el Seminario de Tesis I. La recolección de la información trianguló tres técnicas:</w:t>
      </w:r>
    </w:p>
    <w:p w14:paraId="3F869CFA" w14:textId="77777777" w:rsidR="005E491F" w:rsidRDefault="00B01E08" w:rsidP="00B01E08">
      <w:pPr>
        <w:pStyle w:val="Compact"/>
        <w:numPr>
          <w:ilvl w:val="0"/>
          <w:numId w:val="2"/>
        </w:numPr>
        <w:jc w:val="both"/>
      </w:pPr>
      <w:r>
        <w:rPr>
          <w:b/>
          <w:bCs/>
        </w:rPr>
        <w:t>Cuestionario en línea:</w:t>
      </w:r>
      <w:r>
        <w:t xml:space="preserve"> Para categorizar inicialmente los motivos de elección entre opc</w:t>
      </w:r>
      <w:r>
        <w:t>iones predefinidas intrínsecas (experiencias de infancia, vínculo sentimental o familiar, experiencias significativas) y extrínsecas (reconocimiento, padres, grupo de danza, amigos).</w:t>
      </w:r>
    </w:p>
    <w:p w14:paraId="3F869CFB" w14:textId="77777777" w:rsidR="005E491F" w:rsidRDefault="00B01E08" w:rsidP="00B01E08">
      <w:pPr>
        <w:pStyle w:val="Compact"/>
        <w:numPr>
          <w:ilvl w:val="0"/>
          <w:numId w:val="2"/>
        </w:numPr>
        <w:jc w:val="both"/>
      </w:pPr>
      <w:r>
        <w:rPr>
          <w:b/>
          <w:bCs/>
        </w:rPr>
        <w:t>Entrevistas semiestructuradas en profundidad:</w:t>
      </w:r>
      <w:r>
        <w:t xml:space="preserve"> Administradas a 7 estudiant</w:t>
      </w:r>
      <w:r>
        <w:t>es representativos, con el fin de recoger los relatos fenomenológicos de su motivación.</w:t>
      </w:r>
    </w:p>
    <w:p w14:paraId="3F869CFC" w14:textId="77777777" w:rsidR="005E491F" w:rsidRDefault="00B01E08" w:rsidP="00B01E08">
      <w:pPr>
        <w:pStyle w:val="Compact"/>
        <w:numPr>
          <w:ilvl w:val="0"/>
          <w:numId w:val="2"/>
        </w:numPr>
        <w:jc w:val="both"/>
      </w:pPr>
      <w:r>
        <w:rPr>
          <w:b/>
          <w:bCs/>
        </w:rPr>
        <w:t>Análisis documental:</w:t>
      </w:r>
      <w:r>
        <w:t xml:space="preserve"> Revisión de los 33 proyectos de tesis para clasificar la región (Andes, Costa, Amazonía) y taxonomía de las danzas.</w:t>
      </w:r>
    </w:p>
    <w:p w14:paraId="3F869CFD" w14:textId="77777777" w:rsidR="005E491F" w:rsidRDefault="00B01E08" w:rsidP="00B01E08">
      <w:pPr>
        <w:pStyle w:val="Ttulo2"/>
        <w:jc w:val="both"/>
      </w:pPr>
      <w:bookmarkStart w:id="4" w:name="X97f5c33f980969e7d0bd8a4df73db1241accb02"/>
      <w:bookmarkEnd w:id="3"/>
      <w:r>
        <w:t>4. Crítica Teórica y Empírica</w:t>
      </w:r>
    </w:p>
    <w:p w14:paraId="3F869CFE" w14:textId="77777777" w:rsidR="005E491F" w:rsidRDefault="00B01E08" w:rsidP="00B01E08">
      <w:pPr>
        <w:pStyle w:val="FirstParagraph"/>
        <w:jc w:val="both"/>
      </w:pPr>
      <w:r>
        <w:t>A</w:t>
      </w:r>
      <w:r>
        <w:t xml:space="preserve"> partir de los tres Apuntes Extendidos de cátedra, se exponen las siguientes observaciones y críticas al tratamiento teórico y empírico realizado en el </w:t>
      </w:r>
      <w:r>
        <w:rPr>
          <w:i/>
          <w:iCs/>
        </w:rPr>
        <w:t>paper</w:t>
      </w:r>
      <w:r>
        <w:t>:</w:t>
      </w:r>
    </w:p>
    <w:p w14:paraId="3F869CFF" w14:textId="77777777" w:rsidR="005E491F" w:rsidRDefault="00B01E08" w:rsidP="00B01E08">
      <w:pPr>
        <w:pStyle w:val="Ttulo3"/>
        <w:jc w:val="both"/>
      </w:pPr>
      <w:bookmarkStart w:id="5" w:name="X074944cf35c943603c354a1f930a4c78fc12dfd"/>
      <w:r>
        <w:t>A. La falsa dicotomía entre intrínseco y extrínseco</w:t>
      </w:r>
    </w:p>
    <w:p w14:paraId="3F869D00" w14:textId="77777777" w:rsidR="005E491F" w:rsidRDefault="00B01E08" w:rsidP="00B01E08">
      <w:pPr>
        <w:pStyle w:val="FirstParagraph"/>
        <w:jc w:val="both"/>
      </w:pPr>
      <w:r>
        <w:t xml:space="preserve">El </w:t>
      </w:r>
      <w:r>
        <w:rPr>
          <w:i/>
          <w:iCs/>
        </w:rPr>
        <w:t>paper</w:t>
      </w:r>
      <w:r>
        <w:t xml:space="preserve"> adopta una postura rígida para separ</w:t>
      </w:r>
      <w:r>
        <w:t>ar la motivación en "intrínseca" y "extrínseca", a tal punto de clasificar al "vínculo familiar directo" como intrínseco y a "padres o familiares" como extrínseco. Esta dicotomía es objetada en el Apunte I (Cacioppo y Berntson), donde se aclara que dividir</w:t>
      </w:r>
      <w:r>
        <w:t xml:space="preserve"> lo orgánico y lo cultural de manera rígida resulta artificial. De la misma forma, el Apunte III, al abordar la </w:t>
      </w:r>
      <w:r>
        <w:rPr>
          <w:b/>
          <w:bCs/>
        </w:rPr>
        <w:t>Teoría de la Autodeterminación (Ryan &amp; Deci)</w:t>
      </w:r>
      <w:r>
        <w:t xml:space="preserve">, subraya que esto no ocurre en categorías binarias, sino en un </w:t>
      </w:r>
      <w:r>
        <w:rPr>
          <w:i/>
          <w:iCs/>
        </w:rPr>
        <w:t>continuum</w:t>
      </w:r>
      <w:r>
        <w:t xml:space="preserve">. Las metas y presiones de </w:t>
      </w:r>
      <w:r>
        <w:t xml:space="preserve">agentes externos (el grupo de danza, la familia, la validación de la comunidad) sufren un fuerte proceso de </w:t>
      </w:r>
      <w:r>
        <w:rPr>
          <w:b/>
          <w:bCs/>
        </w:rPr>
        <w:t>internalización</w:t>
      </w:r>
      <w:r>
        <w:t xml:space="preserve"> por asimilación cultural, mutando de regulaciones extrínsecas a valores integrados e intrínsecos del individuo. La taxonomía del </w:t>
      </w:r>
      <w:r>
        <w:rPr>
          <w:i/>
          <w:iCs/>
        </w:rPr>
        <w:t>pap</w:t>
      </w:r>
      <w:r>
        <w:rPr>
          <w:i/>
          <w:iCs/>
        </w:rPr>
        <w:t>er</w:t>
      </w:r>
      <w:r>
        <w:t xml:space="preserve"> ignora la permeabilidad de estas influencias.</w:t>
      </w:r>
    </w:p>
    <w:p w14:paraId="3F869D01" w14:textId="77777777" w:rsidR="005E491F" w:rsidRDefault="00B01E08" w:rsidP="00B01E08">
      <w:pPr>
        <w:pStyle w:val="Ttulo3"/>
        <w:jc w:val="both"/>
      </w:pPr>
      <w:bookmarkStart w:id="6" w:name="X324c571cf49e11671b99ffcb092498824de1102"/>
      <w:bookmarkEnd w:id="5"/>
      <w:r>
        <w:lastRenderedPageBreak/>
        <w:t>B. El reduccionismo causal frente al Enactivismo (La motivación como emergencia dinámica)</w:t>
      </w:r>
    </w:p>
    <w:p w14:paraId="3F869D02" w14:textId="77777777" w:rsidR="005E491F" w:rsidRDefault="00B01E08" w:rsidP="00B01E08">
      <w:pPr>
        <w:pStyle w:val="FirstParagraph"/>
        <w:jc w:val="both"/>
      </w:pPr>
      <w:r>
        <w:t>El estudio asume linealmente que un hecho del pasado (una experiencia de la infancia) motivó la investigación actual.</w:t>
      </w:r>
      <w:r>
        <w:t xml:space="preserve"> Sin embargo, el </w:t>
      </w:r>
      <w:r>
        <w:rPr>
          <w:b/>
          <w:bCs/>
        </w:rPr>
        <w:t>Enactivismo</w:t>
      </w:r>
      <w:r>
        <w:t xml:space="preserve"> (Apuntes I y III) desafía esta lectura estática. La motivación para investigar no estaba "almacenada" como un reservorio, sino que fue </w:t>
      </w:r>
      <w:r>
        <w:rPr>
          <w:i/>
          <w:iCs/>
        </w:rPr>
        <w:t>emergente</w:t>
      </w:r>
      <w:r>
        <w:t xml:space="preserve"> y se construyó en la propia acción física y social: al viajar, poner el cuerpo en </w:t>
      </w:r>
      <w:r>
        <w:t>la danza, escuchar la música y ensayar con los grupos, la motivación cognitiva y afectiva fue ensamblándose en tiempo real por el acoplamiento con ese nicho.</w:t>
      </w:r>
    </w:p>
    <w:p w14:paraId="3F869D03" w14:textId="77777777" w:rsidR="005E491F" w:rsidRDefault="00B01E08" w:rsidP="00B01E08">
      <w:pPr>
        <w:pStyle w:val="Ttulo3"/>
        <w:jc w:val="both"/>
      </w:pPr>
      <w:bookmarkStart w:id="7" w:name="Xaf24d30783a66b5380411540906fb2b6a487e22"/>
      <w:bookmarkEnd w:id="6"/>
      <w:r>
        <w:t>C. Omisión de las variables cognitivas: Expectativa-Valor y Autoeficacia</w:t>
      </w:r>
    </w:p>
    <w:p w14:paraId="3F869D04" w14:textId="77777777" w:rsidR="005E491F" w:rsidRDefault="00B01E08" w:rsidP="00B01E08">
      <w:pPr>
        <w:pStyle w:val="FirstParagraph"/>
        <w:jc w:val="both"/>
      </w:pPr>
      <w:r>
        <w:t xml:space="preserve">El autor concluye que la </w:t>
      </w:r>
      <w:r>
        <w:t xml:space="preserve">motivación es principalmente afectiva, desconociendo variables cognitivas esenciales tratadas en el Apunte III. Según la </w:t>
      </w:r>
      <w:r>
        <w:rPr>
          <w:b/>
          <w:bCs/>
        </w:rPr>
        <w:t>Teoría Expectativa-Valor (Rotter)</w:t>
      </w:r>
      <w:r>
        <w:t xml:space="preserve"> y la noción de </w:t>
      </w:r>
      <w:r>
        <w:rPr>
          <w:b/>
          <w:bCs/>
        </w:rPr>
        <w:t>Autoeficacia (Bandura)</w:t>
      </w:r>
      <w:r>
        <w:t xml:space="preserve">, el individuo orienta su conducta sopesando la </w:t>
      </w:r>
      <w:r>
        <w:rPr>
          <w:i/>
          <w:iCs/>
        </w:rPr>
        <w:t>probabilidad sub</w:t>
      </w:r>
      <w:r>
        <w:rPr>
          <w:i/>
          <w:iCs/>
        </w:rPr>
        <w:t>jetiva de éxito</w:t>
      </w:r>
      <w:r>
        <w:t xml:space="preserve">. Cuando en las entrevistas un alumno afirma estar "haciendo algo que es mi fuerte", evidencia que elige esa danza no sólo por apego afectivo, sino porque se percibe con una </w:t>
      </w:r>
      <w:r>
        <w:rPr>
          <w:i/>
          <w:iCs/>
        </w:rPr>
        <w:t>alta autoeficacia</w:t>
      </w:r>
      <w:r>
        <w:t xml:space="preserve"> en dicha área. Los alumnos eligen temas que minim</w:t>
      </w:r>
      <w:r>
        <w:t>izan la dificultad percibida de la investigación garantizando mayores probabilidades de titularse exitosamente y maximizar su valor instrumental (el grado académico).</w:t>
      </w:r>
    </w:p>
    <w:p w14:paraId="3F869D05" w14:textId="77777777" w:rsidR="005E491F" w:rsidRDefault="00B01E08" w:rsidP="00B01E08">
      <w:pPr>
        <w:pStyle w:val="Ttulo3"/>
        <w:jc w:val="both"/>
      </w:pPr>
      <w:bookmarkStart w:id="8" w:name="X54399d491e8a964809dbfea2e44f526d40bb0d9"/>
      <w:bookmarkEnd w:id="7"/>
      <w:r>
        <w:t>D. La motivación social subestimada (Facilitación Social)</w:t>
      </w:r>
    </w:p>
    <w:p w14:paraId="3F869D06" w14:textId="77777777" w:rsidR="005E491F" w:rsidRDefault="00B01E08" w:rsidP="00B01E08">
      <w:pPr>
        <w:pStyle w:val="FirstParagraph"/>
        <w:jc w:val="both"/>
      </w:pPr>
      <w:r>
        <w:t>El paper detectó que el interés</w:t>
      </w:r>
      <w:r>
        <w:t xml:space="preserve"> de familiares y pares "alienta y va dejando huellas", lo que se cataloga simplemente como una motivación extrínseca por mediadores. A la luz del Apunte III, esto corresponde de lleno al fenómeno de </w:t>
      </w:r>
      <w:r>
        <w:rPr>
          <w:b/>
          <w:bCs/>
        </w:rPr>
        <w:t>Facilitación Social</w:t>
      </w:r>
      <w:r>
        <w:t xml:space="preserve"> (Triplett; Zajonc), específicamente a</w:t>
      </w:r>
      <w:r>
        <w:t>l "efecto de audiencia". El saberse observados e interrogados sobre el avance de la tesis por su comunidad, incrementa enormemente su activación general (</w:t>
      </w:r>
      <w:r>
        <w:rPr>
          <w:i/>
          <w:iCs/>
        </w:rPr>
        <w:t>arousal</w:t>
      </w:r>
      <w:r>
        <w:t>). Dado que dominan el terreno (destreza alta), esta presión y activación social no provoca inh</w:t>
      </w:r>
      <w:r>
        <w:t>ibición o ansiedad, sino que favorece la respuesta dominante, catalizando y mejorando el rendimiento sostenido en la investigación.</w:t>
      </w:r>
    </w:p>
    <w:p w14:paraId="3F869D07" w14:textId="77777777" w:rsidR="005E491F" w:rsidRDefault="00B01E08" w:rsidP="00B01E08">
      <w:pPr>
        <w:pStyle w:val="Ttulo3"/>
        <w:jc w:val="both"/>
      </w:pPr>
      <w:bookmarkStart w:id="9" w:name="X90c81f126593cb430d9650580f1adcdcead9761"/>
      <w:bookmarkEnd w:id="8"/>
      <w:r>
        <w:t>E. Teoría del Flujo (Flow) y Motivación de Logro</w:t>
      </w:r>
    </w:p>
    <w:p w14:paraId="3F869D08" w14:textId="77777777" w:rsidR="005E491F" w:rsidRDefault="00B01E08" w:rsidP="00B01E08">
      <w:pPr>
        <w:pStyle w:val="FirstParagraph"/>
        <w:jc w:val="both"/>
      </w:pPr>
      <w:r>
        <w:t>Finalmente, el placer y el compromiso sin estrés ("no me aburro", "me sient</w:t>
      </w:r>
      <w:r>
        <w:t xml:space="preserve">o feliz") expresados por los estudiantes pueden ser mejor comprendidos desde la </w:t>
      </w:r>
      <w:r>
        <w:rPr>
          <w:b/>
          <w:bCs/>
        </w:rPr>
        <w:t>Teoría del Flujo de Csikszentmihalyi</w:t>
      </w:r>
      <w:r>
        <w:t xml:space="preserve"> (Apunte III). Los estudiantes encuentran un equilibrio óptimo: sus elevadas </w:t>
      </w:r>
      <w:r>
        <w:rPr>
          <w:i/>
          <w:iCs/>
        </w:rPr>
        <w:t>habilidades</w:t>
      </w:r>
      <w:r>
        <w:t xml:space="preserve"> en la danza alcanzan la medida exacta frente al </w:t>
      </w:r>
      <w:r>
        <w:rPr>
          <w:i/>
          <w:iCs/>
        </w:rPr>
        <w:t>des</w:t>
      </w:r>
      <w:r>
        <w:rPr>
          <w:i/>
          <w:iCs/>
        </w:rPr>
        <w:t>afío</w:t>
      </w:r>
      <w:r>
        <w:t xml:space="preserve"> cognitivo de redactar la tesis; evitando así la ansiedad o el aburrimiento, logrando que una actividad académica se viva con características propias del ocio paratélico y la dedicación intrínseca. Así mismo, en términos de </w:t>
      </w:r>
      <w:r>
        <w:rPr>
          <w:b/>
          <w:bCs/>
        </w:rPr>
        <w:t>Atkinson</w:t>
      </w:r>
      <w:r>
        <w:t>, esta elección refleja un elevado Motivo de Éxito buscando desafíos intermedios que aporten alto valor identitario.</w:t>
      </w:r>
    </w:p>
    <w:bookmarkEnd w:id="9"/>
    <w:bookmarkEnd w:id="4"/>
    <w:bookmarkEnd w:id="0"/>
    <w:sectPr w:rsidR="005E491F" w:rsidSect="00B01E08">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47CA7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D40A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2628845">
    <w:abstractNumId w:val="0"/>
  </w:num>
  <w:num w:numId="2" w16cid:durableId="148835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E491F"/>
    <w:rsid w:val="005E491F"/>
    <w:rsid w:val="00B01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9CEE"/>
  <w15:docId w15:val="{3B2B737A-8352-4E34-890B-E7FC6BC7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1136</Words>
  <Characters>6252</Characters>
  <Application>Microsoft Office Word</Application>
  <DocSecurity>0</DocSecurity>
  <Lines>52</Lines>
  <Paragraphs>14</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2026-09-07T23:22:00Z</dcterms:created>
  <dcterms:modified xsi:type="dcterms:W3CDTF">2026-09-07T23:22:00Z</dcterms:modified>
</cp:coreProperties>
</file>