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39800" cy="6660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39800" cy="666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commentRangeStart w:id="0"/>
      <w:r w:rsidDel="00000000" w:rsidR="00000000" w:rsidRPr="00000000">
        <w:rPr>
          <w:rFonts w:ascii="Times New Roman" w:cs="Times New Roman" w:eastAsia="Times New Roman" w:hAnsi="Times New Roman"/>
          <w:b w:val="1"/>
          <w:bCs w:val="1"/>
          <w:sz w:val="26"/>
          <w:szCs w:val="26"/>
          <w:rtl w:val="0"/>
        </w:rPr>
        <w:t xml:space="preserve">Facultad de Ciencias Humanas y de la Conducta</w:t>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Licenciatura en Psicología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Artículo de reacción: Advancing theorizing about fast-and-slow thinking (De Neys, 2023).</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Materia: </w:t>
      </w:r>
      <w:r w:rsidDel="00000000" w:rsidR="00000000" w:rsidRPr="00000000">
        <w:rPr>
          <w:rFonts w:ascii="Times New Roman" w:cs="Times New Roman" w:eastAsia="Times New Roman" w:hAnsi="Times New Roman"/>
          <w:rtl w:val="0"/>
        </w:rPr>
        <w:t xml:space="preserve">Procesos Básicos III</w:t>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Pipis: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Barrera Antonella</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Criscenzo María Pilar</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López Silvana</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Mendez Casariego Franco</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Pérez Macarena</w:t>
      </w:r>
      <w:r>
        <w:br w:type="page"/>
      </w:r>
    </w:p>
    <w:p>
      <w:pPr>
        <w:spacing w:line="360" w:lineRule="auto" w:before="0" w:after="0"/>
        <w:jc w:val="left"/>
      </w:pPr>
      <w:r>
        <w:rPr>
          <w:rFonts w:ascii="Times New Roman" w:hAnsi="Times New Roman"/>
          <w:b/>
          <w:i w:val="0"/>
          <w:sz w:val="22"/>
        </w:rPr>
        <w:t>Introducción</w:t>
      </w:r>
    </w:p>
    <w:p>
      <w:pPr>
        <w:spacing w:line="360" w:lineRule="auto" w:before="0" w:after="0"/>
        <w:ind w:firstLine="709"/>
        <w:jc w:val="both"/>
      </w:pPr>
      <w:r>
        <w:rPr>
          <w:rFonts w:ascii="Times New Roman" w:hAnsi="Times New Roman"/>
          <w:b w:val="0"/>
          <w:i w:val="0"/>
          <w:sz w:val="22"/>
        </w:rPr>
        <w:t>El objetivo del artículo de De Neys (2023a) es revisar críticamente los supuestos fundacionales de los modelos de proceso dual del pensamiento y proponer una arquitectura alternativa. Estos modelos distinguen un sistema 1 intuitivo, rápido y sin esfuerzo, de un sistema 2 deliberado, lento y costoso en recursos cognitivos (Kahneman, 2011, como se citó en De Neys, 2023a), y se aplican a fenómenos tan diversos como los sesgos de razonamiento, el juicio moral y la cooperación. El autor sostiene que, pese a su popularidad, dos de sus supuestos están mal concebidos.</w:t>
      </w:r>
    </w:p>
    <w:p>
      <w:pPr>
        <w:spacing w:line="360" w:lineRule="auto" w:before="0" w:after="0"/>
        <w:ind w:firstLine="709"/>
        <w:jc w:val="both"/>
      </w:pPr>
      <w:r>
        <w:rPr>
          <w:rFonts w:ascii="Times New Roman" w:hAnsi="Times New Roman"/>
          <w:b w:val="0"/>
          <w:i w:val="0"/>
          <w:sz w:val="22"/>
        </w:rPr>
        <w:t xml:space="preserve">El primero es la </w:t>
      </w:r>
      <w:r>
        <w:rPr>
          <w:rFonts w:ascii="Times New Roman" w:hAnsi="Times New Roman"/>
          <w:b w:val="0"/>
          <w:i/>
          <w:sz w:val="22"/>
        </w:rPr>
        <w:t>exclusividad</w:t>
      </w:r>
      <w:r>
        <w:rPr>
          <w:rFonts w:ascii="Times New Roman" w:hAnsi="Times New Roman"/>
          <w:b w:val="0"/>
          <w:i w:val="0"/>
          <w:sz w:val="22"/>
        </w:rPr>
        <w:t xml:space="preserve">: la idea de que cada sistema genera respuestas propias y de que la respuesta atribuida al sistema 2 (la lógicamente correcta, la utilitarista) está fuera del alcance de la intuición, de modo que acertar exige corregir una intuición errónea. El segundo es el </w:t>
      </w:r>
      <w:r>
        <w:rPr>
          <w:rFonts w:ascii="Times New Roman" w:hAnsi="Times New Roman"/>
          <w:b w:val="0"/>
          <w:i/>
          <w:sz w:val="22"/>
        </w:rPr>
        <w:t>mecanismo de cambio</w:t>
      </w:r>
      <w:r>
        <w:rPr>
          <w:rFonts w:ascii="Times New Roman" w:hAnsi="Times New Roman"/>
          <w:b w:val="0"/>
          <w:i w:val="0"/>
          <w:sz w:val="22"/>
        </w:rPr>
        <w:t>: cómo decide una persona, sin ayuda externa, que debe abandonar la respuesta intuitiva y ponerse a deliberar, y cuándo dejar de hacerlo. La hipótesis central del artículo es que ambos problemas están ligados: mientras se sostenga la exclusividad, no puede formularse un mecanismo de cambio coherente. El problema resulta relevante para la unidad Pensamiento porque toca el núcleo del debate sobre la racionalidad humana: si los errores de razonamiento se deben a intuiciones que la deliberación no llega a corregir o si la relación entre intuición y deliberación es más compleja.</w:t>
      </w:r>
    </w:p>
    <w:p>
      <w:pPr>
        <w:spacing w:line="360" w:lineRule="auto" w:before="0" w:after="0"/>
        <w:jc w:val="both"/>
      </w:pPr>
    </w:p>
    <w:p>
      <w:pPr>
        <w:spacing w:line="360" w:lineRule="auto" w:before="0" w:after="0"/>
        <w:jc w:val="left"/>
      </w:pPr>
      <w:r>
        <w:rPr>
          <w:rFonts w:ascii="Times New Roman" w:hAnsi="Times New Roman"/>
          <w:b/>
          <w:i w:val="0"/>
          <w:sz w:val="22"/>
        </w:rPr>
        <w:t>Método y propuesta del autor</w:t>
      </w:r>
    </w:p>
    <w:p>
      <w:pPr>
        <w:spacing w:line="360" w:lineRule="auto" w:before="0" w:after="0"/>
        <w:ind w:firstLine="709"/>
        <w:jc w:val="both"/>
      </w:pPr>
      <w:r>
        <w:rPr>
          <w:rFonts w:ascii="Times New Roman" w:hAnsi="Times New Roman"/>
          <w:b w:val="0"/>
          <w:i w:val="0"/>
          <w:sz w:val="22"/>
        </w:rPr>
        <w:t>No se trata de un estudio empírico sino de un artículo teórico de revisión, publicado en formato de comentario abierto: el texto central es seguido por 34 comentarios de especialistas y por una respuesta del autor (De Neys, 2023b). Su método combina una revisión de la evidencia de tres campos (razonamiento lógico, moral y prosocial) con un análisis conceptual.</w:t>
      </w:r>
    </w:p>
    <w:p>
      <w:pPr>
        <w:spacing w:line="360" w:lineRule="auto" w:before="0" w:after="0"/>
        <w:ind w:firstLine="709"/>
        <w:jc w:val="both"/>
      </w:pPr>
      <w:r>
        <w:rPr>
          <w:rFonts w:ascii="Times New Roman" w:hAnsi="Times New Roman"/>
          <w:b w:val="0"/>
          <w:i w:val="0"/>
          <w:sz w:val="22"/>
        </w:rPr>
        <w:t>En la revisión, el autor reconoce la evidencia que dio origen a la exclusividad: quienes dan la respuesta “deliberada” tardan más y puntúan más alto en capacidad cognitiva, y la presión de tiempo o la carga de memoria reducen esa respuesta. Sin embargo, los metaanálisis muestran efectos pequeños: restringir la deliberación reduce el acierto en tareas de sesgo apenas de un 62 % a un 52 % (Lawson et al., 2020, como se citó en De Neys, 2023a, p. 4). Además, con el paradigma de dos respuestas (una primera respuesta rápida, bajo presión de tiempo y carga, y una segunda sin límite) se observa que quienes aciertan al final ya suelen acertar en la respuesta intuitiva; y los estudios de detección de conflicto muestran que incluso quienes se equivocan tardan más y confían menos cuando su intuición choca con la norma lógica (De Neys, 2023a, pp. 4-5). En el análisis conceptual, el autor muestra que las explicaciones habituales del cambio caen en paradojas: si el sistema 2 vigila al sistema 1, ya tendría que estar activo para detectar el conflicto; un “sistema 3” que compare a ambos conduce a una regresión infinita; y el procesamiento en paralelo pierde la economía cognitiva que justifica el modelo (pp. 6-7).</w:t>
      </w:r>
    </w:p>
    <w:p>
      <w:pPr>
        <w:spacing w:line="360" w:lineRule="auto" w:before="0" w:after="0"/>
        <w:ind w:firstLine="709"/>
        <w:jc w:val="both"/>
      </w:pPr>
      <w:r>
        <w:rPr>
          <w:rFonts w:ascii="Times New Roman" w:hAnsi="Times New Roman"/>
          <w:b w:val="0"/>
          <w:i w:val="0"/>
          <w:sz w:val="22"/>
        </w:rPr>
        <w:t>El resultado es un modelo de trabajo con cuatro componentes (pp. 8-11). Primero, el sistema 1 activa varias intuiciones de distinta fuerza, entre ellas la respuesta lógica, que se habría automatizado por la práctica. Segundo, un monitoreo de la incertidumbre, también intuitivo, compara esas fuerzas (U = 1 − |I1 − I2|) y, si la incertidumbre supera un umbral, activa el sistema 2. Tercero, la deliberación inhibe, calcula o justifica, y no garantiza el acierto. Cuarto, una retroalimentación modifica la fuerza de las intuiciones y detiene la deliberación cuando la incertidumbre desciende. El autor concluye que todo modelo dual viable debe ser no exclusivo.</w:t>
      </w:r>
    </w:p>
    <w:p>
      <w:pPr>
        <w:spacing w:line="360" w:lineRule="auto" w:before="0" w:after="0"/>
        <w:jc w:val="both"/>
      </w:pPr>
    </w:p>
    <w:p>
      <w:pPr>
        <w:spacing w:line="360" w:lineRule="auto" w:before="0" w:after="0"/>
        <w:jc w:val="left"/>
      </w:pPr>
      <w:r>
        <w:rPr>
          <w:rFonts w:ascii="Times New Roman" w:hAnsi="Times New Roman"/>
          <w:b/>
          <w:i w:val="0"/>
          <w:sz w:val="22"/>
        </w:rPr>
        <w:t>Discusión</w:t>
      </w:r>
    </w:p>
    <w:p>
      <w:pPr>
        <w:spacing w:line="360" w:lineRule="auto" w:before="0" w:after="0"/>
        <w:ind w:firstLine="709"/>
        <w:jc w:val="both"/>
      </w:pPr>
      <w:r>
        <w:rPr>
          <w:rFonts w:ascii="Times New Roman" w:hAnsi="Times New Roman"/>
          <w:b w:val="0"/>
          <w:i w:val="0"/>
          <w:sz w:val="22"/>
        </w:rPr>
        <w:t>Consideramos que el principal acierto del artículo es haber explicitado un supuesto que la teoría heurístico-analítica de Evans dejaba implícito. En ella, un estadio heurístico preconsciente selecciona la información relevante y un estadio analítico opera sobre ella; los sesgos se atribuyen al primero y la competencia lógica al segundo (Valiña y Martín, 2014, pp. 19-20, 22). Esa asignación es, precisamente, la exclusividad que De Neys cuestiona, y su crítica deja al descubierto lo que el modelo no especificaba: qué hace que intervenga el procesamiento analítico. A su vez, la idea de que la deliberación puede servir para justificar la respuesta intuitiva, y no para corregirla, es coherente con la tesis de Evans de que las personas se equivocan porque piensan selectivamente (Valiña y Martín, 2014, p. 20). Un límite es que el propio autor admite que Evans y Stanovich ya abandonaron la exclusividad en sus trabajos recientes (De Neys, 2023b, p. 67), por lo que la crítica apunta en parte a una versión superada; su novedad reside más en vincular exclusividad y cambio que en rechazar la exclusividad.</w:t>
      </w:r>
    </w:p>
    <w:p>
      <w:pPr>
        <w:spacing w:line="360" w:lineRule="auto" w:before="0" w:after="0"/>
        <w:ind w:firstLine="709"/>
        <w:jc w:val="both"/>
      </w:pPr>
      <w:r>
        <w:rPr>
          <w:rFonts w:ascii="Times New Roman" w:hAnsi="Times New Roman"/>
          <w:b w:val="0"/>
          <w:i w:val="0"/>
          <w:sz w:val="22"/>
        </w:rPr>
        <w:t>La pieza más original del modelo, que la respuesta lógica pueda volverse intuitiva por aprendizaje, coincide con lo que la unidad desarrolla en razonamiento probabilístico. Fischbein distinguía intuiciones primarias, surgidas de la experiencia y muy similares a los sesgos que describieron Tversky y Kahneman, de intuiciones secundarias, logradas mediante instrucción y esfuerzo deliberado; y Hogarth sostiene que la intuición puede educarse hasta acercarse a la norma estadística (Pérez Echeverría y Bautista, 2014, pp. 7-8, 18). La literatura sobre pericia agrega que los expertos convierten lo deliberado en tácito (Pérez Echeverría y Bautista, 2014, p. 20) y que lo que para el novato es un problema, para el experto es un ejercicio (Pérez Echeverría, 2014, p. 16). Esto refuerza la propuesta, pero también revela un límite: De Neys reconoce que existe poca evidencia directa de esa automatización (De Neys, 2023a, p. 13) y no recurre a esta tradición evolutiva y educativa, que podría darle sustento empírico.</w:t>
      </w:r>
    </w:p>
    <w:p>
      <w:pPr>
        <w:spacing w:line="360" w:lineRule="auto" w:before="0" w:after="0"/>
        <w:ind w:firstLine="709"/>
        <w:jc w:val="both"/>
      </w:pPr>
      <w:r>
        <w:rPr>
          <w:rFonts w:ascii="Times New Roman" w:hAnsi="Times New Roman"/>
          <w:b w:val="0"/>
          <w:i w:val="0"/>
          <w:sz w:val="22"/>
        </w:rPr>
        <w:t>En el plano metodológico, Pérez Echeverría critica que los heurísticos, concebidos como implícitos, se hayan estudiado con tareas que exigen respuestas declarativas, y reclama la convergencia de métodos diversos (Pérez Echeverría y Bautista, 2014, pp. 18-19). Valoramos que De Neys responda en parte a esa exigencia, ya que combina tiempos de respuesta, niveles de confianza, respuestas bajo carga y justificaciones. Sus datos incluso apoyan la idea de que lo implícito es difícil de declarar: las respuestas correctas intuitivas cuestan justificarse, a diferencia de las deliberadas (De Neys, 2023a, p. 12). Sin embargo, el autor reconoce que no existe un umbral que separe intuición de deliberación, por lo que nunca puede descartarse cierta deliberación en la respuesta rápida (p. 5). Además, si la relación entre lo implícito y lo explícito es un continuo y no una dicotomía, un modelo que enciende o apaga el sistema 2 al cruzar un umbral introduce una frontera nítida que la evidencia no permite trazar.</w:t>
      </w:r>
    </w:p>
    <w:p>
      <w:pPr>
        <w:spacing w:line="360" w:lineRule="auto" w:before="0" w:after="0"/>
        <w:ind w:firstLine="709"/>
        <w:jc w:val="both"/>
      </w:pPr>
      <w:r>
        <w:rPr>
          <w:rFonts w:ascii="Times New Roman" w:hAnsi="Times New Roman"/>
          <w:b w:val="0"/>
          <w:i w:val="0"/>
          <w:sz w:val="22"/>
        </w:rPr>
        <w:t>Entre las críticas a Tversky y Kahneman, la unidad destaca que describen fenómenos interesantes pero no explican los procesos que los producen (Pérez Echeverría y Bautista, 2014, p. 18). El modelo de De Neys intenta justamente especificar un mecanismo (fuerza de las intuiciones, incertidumbre, umbral y retroalimentación) del que derivan preguntas nuevas y contrastables, lo que constituye un aporte. No obstante, la especificación sigue siendo verbal: el autor admite que la fórmula de la incertidumbre es una simplificación y no fija valores para las fuerzas ni para el umbral (De Neys, 2023a, pp. 12, 14). Sin esas precisiones, el modelo corre el riesgo de explicar cualquier resultado a posteriori: si alguien acierta, su intuición lógica era fuerte; si se equivoca, era débil.</w:t>
      </w:r>
    </w:p>
    <w:p>
      <w:pPr>
        <w:spacing w:line="360" w:lineRule="auto" w:before="0" w:after="0"/>
        <w:ind w:firstLine="709"/>
        <w:jc w:val="both"/>
      </w:pPr>
      <w:r>
        <w:rPr>
          <w:rFonts w:ascii="Times New Roman" w:hAnsi="Times New Roman"/>
          <w:b w:val="0"/>
          <w:i w:val="0"/>
          <w:sz w:val="22"/>
        </w:rPr>
        <w:t>Por último, la evidencia revisada proviene de tareas de laboratorio bien definidas y con escaso contenido, como el problema del bate y la pelota o la elección entre bandejas con bolitas. La investigación en solución de problemas siguió un camino similar, con problemas sin contenido específico que ofrecían mayor control experimental (Postigo Angón, 2014, p. 8), hasta que el enfoque de expertos y novatos mostró que la eficacia depende del conocimiento específico del dominio (Pérez Echeverría, 2014, p. 13). Cabe preguntarse, entonces, si el modelo se aplica a los problemas mal definidos de la vida cotidiana, donde no hay una respuesta normativa clara contra la cual medir la intuición, limitación que el propio autor admite en su respuesta (De Neys, 2023b, p. 68).</w:t>
      </w:r>
    </w:p>
    <w:p>
      <w:pPr>
        <w:spacing w:line="360" w:lineRule="auto" w:before="0" w:after="0"/>
        <w:jc w:val="both"/>
      </w:pPr>
    </w:p>
    <w:p>
      <w:pPr>
        <w:spacing w:line="360" w:lineRule="auto" w:before="0" w:after="0"/>
        <w:jc w:val="left"/>
      </w:pPr>
      <w:r>
        <w:rPr>
          <w:rFonts w:ascii="Times New Roman" w:hAnsi="Times New Roman"/>
          <w:b/>
          <w:i w:val="0"/>
          <w:sz w:val="22"/>
        </w:rPr>
        <w:t>Conclusión</w:t>
      </w:r>
    </w:p>
    <w:p>
      <w:pPr>
        <w:spacing w:line="360" w:lineRule="auto" w:before="0" w:after="0"/>
        <w:ind w:firstLine="709"/>
        <w:jc w:val="both"/>
      </w:pPr>
      <w:r>
        <w:rPr>
          <w:rFonts w:ascii="Times New Roman" w:hAnsi="Times New Roman"/>
          <w:b w:val="0"/>
          <w:i w:val="0"/>
          <w:sz w:val="22"/>
        </w:rPr>
        <w:t>En síntesis, consideramos que el artículo realiza una contribución valiosa al estudio del pensamiento. Su principal mérito es mostrar que la exclusividad y el mecanismo de cambio son problemas conectados, y proponer un modelo que evita las paradojas de los anteriores sin abandonar la distinción entre intuición y deliberación. Varias de sus tesis encuentran apoyo en los contenidos de la unidad: la educación de la intuición (Fischbein, Hogarth), la automatización en los expertos y la idea de que deliberar no garantiza un razonamiento normativo, coherente con la distinción de Evans entre racionalidad de propósito y racionalidad de proceso (Valiña y Martín, 2014, p. 21).</w:t>
      </w:r>
    </w:p>
    <w:p>
      <w:pPr>
        <w:spacing w:line="360" w:lineRule="auto" w:before="0" w:after="0"/>
        <w:ind w:firstLine="709"/>
        <w:jc w:val="both"/>
      </w:pPr>
      <w:r>
        <w:rPr>
          <w:rFonts w:ascii="Times New Roman" w:hAnsi="Times New Roman"/>
          <w:b w:val="0"/>
          <w:i w:val="0"/>
          <w:sz w:val="22"/>
        </w:rPr>
        <w:t>Sus límites son, en buena medida, los que el propio autor reconoce: un modelo todavía verbal, una automatización poco probada y una evidencia basada en tareas artificiales. Como direcciones futuras, sugerimos estudios evolutivos y de entrenamiento que sigan cómo una respuesta deliberada se vuelve intuitiva, en la línea de las intuiciones secundarias de Fischbein, y la extensión del modelo a problemas mal definidos y a dominios de pericia, donde el conocimiento específico podría modular la fuerza de las intuiciones.</w:t>
      </w:r>
      <w:r>
        <w:br w:type="page"/>
      </w:r>
    </w:p>
    <w:p>
      <w:pPr>
        <w:spacing w:line="360" w:lineRule="auto" w:before="0" w:after="0"/>
        <w:jc w:val="left"/>
      </w:pPr>
      <w:r>
        <w:rPr>
          <w:rFonts w:ascii="Times New Roman" w:hAnsi="Times New Roman"/>
          <w:b/>
          <w:i w:val="0"/>
          <w:sz w:val="22"/>
        </w:rPr>
        <w:t>Referencias</w:t>
      </w:r>
    </w:p>
    <w:p>
      <w:pPr>
        <w:spacing w:line="360" w:lineRule="auto" w:before="0" w:after="0"/>
        <w:ind w:left="720" w:hanging="720"/>
        <w:jc w:val="both"/>
      </w:pPr>
      <w:r>
        <w:rPr>
          <w:rFonts w:ascii="Times New Roman" w:hAnsi="Times New Roman"/>
          <w:b w:val="0"/>
          <w:i w:val="0"/>
          <w:sz w:val="22"/>
        </w:rPr>
        <w:t xml:space="preserve">De Neys, W. (2023a). Advancing theorizing about fast-and-slow thinking. </w:t>
      </w:r>
      <w:r>
        <w:rPr>
          <w:rFonts w:ascii="Times New Roman" w:hAnsi="Times New Roman"/>
          <w:b w:val="0"/>
          <w:i/>
          <w:sz w:val="22"/>
        </w:rPr>
        <w:t>Behavioral and Brain Sciences</w:t>
      </w:r>
      <w:r>
        <w:rPr>
          <w:rFonts w:ascii="Times New Roman" w:hAnsi="Times New Roman"/>
          <w:b w:val="0"/>
          <w:i w:val="0"/>
          <w:sz w:val="22"/>
        </w:rPr>
        <w:t xml:space="preserve">, </w:t>
      </w:r>
      <w:r>
        <w:rPr>
          <w:rFonts w:ascii="Times New Roman" w:hAnsi="Times New Roman"/>
          <w:b w:val="0"/>
          <w:i/>
          <w:sz w:val="22"/>
        </w:rPr>
        <w:t>46</w:t>
      </w:r>
      <w:r>
        <w:rPr>
          <w:rFonts w:ascii="Times New Roman" w:hAnsi="Times New Roman"/>
          <w:b w:val="0"/>
          <w:i w:val="0"/>
          <w:sz w:val="22"/>
        </w:rPr>
        <w:t>, Artículo e111. https://doi.org/10.1017/S0140525X2200142X</w:t>
      </w:r>
    </w:p>
    <w:p>
      <w:pPr>
        <w:spacing w:line="360" w:lineRule="auto" w:before="0" w:after="0"/>
        <w:ind w:left="720" w:hanging="720"/>
        <w:jc w:val="both"/>
      </w:pPr>
      <w:r>
        <w:rPr>
          <w:rFonts w:ascii="Times New Roman" w:hAnsi="Times New Roman"/>
          <w:b w:val="0"/>
          <w:i w:val="0"/>
          <w:sz w:val="22"/>
        </w:rPr>
        <w:t xml:space="preserve">De Neys, W. (2023b). Further advancing fast-and-slow theorizing. </w:t>
      </w:r>
      <w:r>
        <w:rPr>
          <w:rFonts w:ascii="Times New Roman" w:hAnsi="Times New Roman"/>
          <w:b w:val="0"/>
          <w:i/>
          <w:sz w:val="22"/>
        </w:rPr>
        <w:t>Behavioral and Brain Sciences</w:t>
      </w:r>
      <w:r>
        <w:rPr>
          <w:rFonts w:ascii="Times New Roman" w:hAnsi="Times New Roman"/>
          <w:b w:val="0"/>
          <w:i w:val="0"/>
          <w:sz w:val="22"/>
        </w:rPr>
        <w:t xml:space="preserve">, </w:t>
      </w:r>
      <w:r>
        <w:rPr>
          <w:rFonts w:ascii="Times New Roman" w:hAnsi="Times New Roman"/>
          <w:b w:val="0"/>
          <w:i/>
          <w:sz w:val="22"/>
        </w:rPr>
        <w:t>46</w:t>
      </w:r>
      <w:r>
        <w:rPr>
          <w:rFonts w:ascii="Times New Roman" w:hAnsi="Times New Roman"/>
          <w:b w:val="0"/>
          <w:i w:val="0"/>
          <w:sz w:val="22"/>
        </w:rPr>
        <w:t>, Artículo e146. https://doi.org/10.1017/S0140525X23000559</w:t>
      </w:r>
    </w:p>
    <w:p>
      <w:pPr>
        <w:spacing w:line="360" w:lineRule="auto" w:before="0" w:after="0"/>
        <w:ind w:left="720" w:hanging="720"/>
        <w:jc w:val="both"/>
      </w:pPr>
      <w:r>
        <w:rPr>
          <w:rFonts w:ascii="Times New Roman" w:hAnsi="Times New Roman"/>
          <w:b w:val="0"/>
          <w:i w:val="0"/>
          <w:sz w:val="22"/>
        </w:rPr>
        <w:t xml:space="preserve">Pérez Echeverría, M. P. (2014). Solución de problemas. En M. Carretero y M. Asensio (Coords.), </w:t>
      </w:r>
      <w:r>
        <w:rPr>
          <w:rFonts w:ascii="Times New Roman" w:hAnsi="Times New Roman"/>
          <w:b w:val="0"/>
          <w:i/>
          <w:sz w:val="22"/>
        </w:rPr>
        <w:t>Psicología del pensamiento: Teoría y prácticas</w:t>
      </w:r>
      <w:r>
        <w:rPr>
          <w:rFonts w:ascii="Times New Roman" w:hAnsi="Times New Roman"/>
          <w:b w:val="0"/>
          <w:i w:val="0"/>
          <w:sz w:val="22"/>
        </w:rPr>
        <w:t xml:space="preserve"> (cap. 8). Alianza.</w:t>
      </w:r>
    </w:p>
    <w:p>
      <w:pPr>
        <w:spacing w:line="360" w:lineRule="auto" w:before="0" w:after="0"/>
        <w:ind w:left="720" w:hanging="720"/>
        <w:jc w:val="both"/>
      </w:pPr>
      <w:r>
        <w:rPr>
          <w:rFonts w:ascii="Times New Roman" w:hAnsi="Times New Roman"/>
          <w:b w:val="0"/>
          <w:i w:val="0"/>
          <w:sz w:val="22"/>
        </w:rPr>
        <w:t xml:space="preserve">Pérez Echeverría, M. P., y Bautista, A. (2014). Pensamiento probabilístico. En M. Carretero y M. Asensio (Coords.), </w:t>
      </w:r>
      <w:r>
        <w:rPr>
          <w:rFonts w:ascii="Times New Roman" w:hAnsi="Times New Roman"/>
          <w:b w:val="0"/>
          <w:i/>
          <w:sz w:val="22"/>
        </w:rPr>
        <w:t>Psicología del pensamiento: Teoría y prácticas</w:t>
      </w:r>
      <w:r>
        <w:rPr>
          <w:rFonts w:ascii="Times New Roman" w:hAnsi="Times New Roman"/>
          <w:b w:val="0"/>
          <w:i w:val="0"/>
          <w:sz w:val="22"/>
        </w:rPr>
        <w:t xml:space="preserve"> (cap. 7). Alianza.</w:t>
      </w:r>
    </w:p>
    <w:p>
      <w:pPr>
        <w:spacing w:line="360" w:lineRule="auto" w:before="0" w:after="0"/>
        <w:ind w:left="720" w:hanging="720"/>
        <w:jc w:val="both"/>
      </w:pPr>
      <w:r>
        <w:rPr>
          <w:rFonts w:ascii="Times New Roman" w:hAnsi="Times New Roman"/>
          <w:b w:val="0"/>
          <w:i w:val="0"/>
          <w:sz w:val="22"/>
        </w:rPr>
        <w:t xml:space="preserve">Postigo Angón, Y. (2014). Estrategias en solución de problemas. En M. Carretero y M. Asensio (Coords.), </w:t>
      </w:r>
      <w:r>
        <w:rPr>
          <w:rFonts w:ascii="Times New Roman" w:hAnsi="Times New Roman"/>
          <w:b w:val="0"/>
          <w:i/>
          <w:sz w:val="22"/>
        </w:rPr>
        <w:t>Psicología del pensamiento: Teoría y prácticas</w:t>
      </w:r>
      <w:r>
        <w:rPr>
          <w:rFonts w:ascii="Times New Roman" w:hAnsi="Times New Roman"/>
          <w:b w:val="0"/>
          <w:i w:val="0"/>
          <w:sz w:val="22"/>
        </w:rPr>
        <w:t xml:space="preserve"> (cap. 9). Alianza.</w:t>
      </w:r>
    </w:p>
    <w:p>
      <w:pPr>
        <w:spacing w:line="360" w:lineRule="auto" w:before="0" w:after="0"/>
        <w:ind w:left="720" w:hanging="720"/>
        <w:jc w:val="both"/>
      </w:pPr>
      <w:r>
        <w:rPr>
          <w:rFonts w:ascii="Times New Roman" w:hAnsi="Times New Roman"/>
          <w:b w:val="0"/>
          <w:i w:val="0"/>
          <w:sz w:val="22"/>
        </w:rPr>
        <w:t xml:space="preserve">Valiña, M. D., y Martín, M. (2014). Razonamiento pragmático. En M. Carretero y M. Asensio (Coords.), </w:t>
      </w:r>
      <w:r>
        <w:rPr>
          <w:rFonts w:ascii="Times New Roman" w:hAnsi="Times New Roman"/>
          <w:b w:val="0"/>
          <w:i/>
          <w:sz w:val="22"/>
        </w:rPr>
        <w:t>Psicología del pensamiento: Teoría y prácticas</w:t>
      </w:r>
      <w:r>
        <w:rPr>
          <w:rFonts w:ascii="Times New Roman" w:hAnsi="Times New Roman"/>
          <w:b w:val="0"/>
          <w:i w:val="0"/>
          <w:sz w:val="22"/>
        </w:rPr>
        <w:t xml:space="preserve"> (cap. 6). Alianza.</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isco Cossavella" w:id="6" w:date="2026-09-17T12:35:26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muy bueno tmb</w:t>
      </w:r>
    </w:p>
  </w:comment>
  <w:comment w:author="Francisco Cossavella" w:id="3" w:date="2026-09-17T12:32:38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negrita no se usa en la redacción científica si no es para títulos de figuras o tablas en general</w:t>
      </w:r>
    </w:p>
  </w:comment>
  <w:comment w:author="Francisco Cossavella" w:id="5" w:date="2026-09-17T12:34:45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excelente!</w:t>
      </w:r>
    </w:p>
  </w:comment>
  <w:comment w:author="Francisco Cossavella" w:id="10" w:date="2026-09-17T12:40:11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incluyan resultados antes de repetirse entre conclusión y discusión</w:t>
      </w:r>
    </w:p>
  </w:comment>
  <w:comment w:author="Francisco Cossavella" w:id="8" w:date="2026-09-17T12:38:03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pero bueno hay que operacionalizar de alguna manera</w:t>
      </w:r>
    </w:p>
  </w:comment>
  <w:comment w:author="Francisco Cossavella" w:id="4" w:date="2026-09-17T12:34:00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muy bien!</w:t>
      </w:r>
    </w:p>
  </w:comment>
  <w:comment w:author="Francisco Cossavella" w:id="9" w:date="2026-09-17T12:39:29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siempre hay tensión entre la validez ecológica y la validez interna, el paper se propone maximizar validez ecológica, tomo la critica pero no me parece mal</w:t>
      </w:r>
    </w:p>
  </w:comment>
  <w:comment w:author="Francisco Cossavella" w:id="1" w:date="2026-09-17T12:30:52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bien!</w:t>
      </w:r>
    </w:p>
  </w:comment>
  <w:comment w:author="Francisco Cossavella" w:id="0" w:date="2026-09-17T12:43:15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muy bien! muy buenas críticas, me faltó una sección de resultados en la que quede claro que encontraron lxs autores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uso de los conceptos está buenísimo, banco que criticar es divertido pero también está bueno pensar en que pueden decir cosas positivas sobre el artículo. por ej, la tensión entre tomar una encuesta con muchísimas variables a miles de personas y tomarle un instrumento validado para una muestra específica a 40 personas es una tensión que hay que navegar y no se resuelve fácil, criticar eso está okey, mucha gente lo haría, pero hay que tener presente el objetivo de lxs autores: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pocas veces se testea empíricamente la relación entre necesidades psicológicas y motivación laboral, más allá de asumirla; 2) no existen estudios que analicen moderadores a nivel país sobre esa relación individual; 3) hay pocos estudios transnacionales con muestras amplias sobre el tema."</w:t>
      </w:r>
    </w:p>
  </w:comment>
  <w:comment w:author="Francisco Cossavella" w:id="7" w:date="2026-09-17T12:36:44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banco, pero bueno, en el fondo toda la psicología cuantitativa termina haciendo esto en un punto, mientras lxs autores provean explicaciones para por qué lo hacen y qué conclusiones sacan de los resultados me parece correcto</w:t>
      </w:r>
    </w:p>
  </w:comment>
  <w:comment w:author="Francisco Cossavella" w:id="2" w:date="2026-09-17T12:30:34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ponen "espacio después de párrafo" en la configuración general o no ponen nada, pero no dejen renglones libres.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oi.org/10.1126/science.149.3681.269" TargetMode="External"/><Relationship Id="rId9" Type="http://schemas.openxmlformats.org/officeDocument/2006/relationships/hyperlink" Target="https://www.google.com/search?q=https://doi.org/10.3390/bs1202004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i.org/10.1037/a00128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