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65BC6C" w14:textId="77777777" w:rsidR="001A4A8D" w:rsidRDefault="001A4A8D">
      <w:pPr>
        <w:spacing w:before="1200"/>
      </w:pPr>
    </w:p>
    <w:p w14:paraId="42FA71FF" w14:textId="77777777" w:rsidR="001A4A8D" w:rsidRDefault="001A4A8D"/>
    <w:p w14:paraId="1CF419BB" w14:textId="77777777" w:rsidR="001A4A8D" w:rsidRDefault="001A4A8D"/>
    <w:p w14:paraId="5B8BE975" w14:textId="77777777" w:rsidR="001A4A8D" w:rsidRDefault="007141C1">
      <w:pPr>
        <w:jc w:val="center"/>
      </w:pPr>
      <w:r>
        <w:rPr>
          <w:b/>
          <w:bCs/>
        </w:rPr>
        <w:t>Uso de Redes Sociales, Generación y Preocupación Social Ansiosa:</w:t>
      </w:r>
    </w:p>
    <w:p w14:paraId="21881522" w14:textId="77777777" w:rsidR="001A4A8D" w:rsidRDefault="007141C1">
      <w:pPr>
        <w:spacing w:after="480"/>
        <w:jc w:val="center"/>
      </w:pPr>
      <w:r>
        <w:rPr>
          <w:b/>
          <w:bCs/>
        </w:rPr>
        <w:t>Un análisis factorial en una muestra comunitaria del AMBA</w:t>
      </w:r>
    </w:p>
    <w:p w14:paraId="7C9F74D7" w14:textId="77777777" w:rsidR="001A4A8D" w:rsidRDefault="001A4A8D"/>
    <w:p w14:paraId="0C5264DA" w14:textId="77777777" w:rsidR="001A4A8D" w:rsidRDefault="001A4A8D"/>
    <w:p w14:paraId="4FF3C5B4" w14:textId="5BF0EFBF" w:rsidR="001A4A8D" w:rsidRDefault="00DD7357">
      <w:pPr>
        <w:jc w:val="center"/>
      </w:pPr>
      <w:r>
        <w:t>Franco Mendez Casariego</w:t>
      </w:r>
    </w:p>
    <w:p w14:paraId="55F4614E" w14:textId="77777777" w:rsidR="001A4A8D" w:rsidRDefault="001A4A8D"/>
    <w:p w14:paraId="1B45E227" w14:textId="4C18FAB5" w:rsidR="001A4A8D" w:rsidRDefault="00DD7357">
      <w:pPr>
        <w:jc w:val="center"/>
      </w:pPr>
      <w:r>
        <w:t>Universidad Favaloro</w:t>
      </w:r>
    </w:p>
    <w:p w14:paraId="6301AC76" w14:textId="77777777" w:rsidR="001A4A8D" w:rsidRDefault="001A4A8D"/>
    <w:p w14:paraId="524210D8" w14:textId="7F956D8B" w:rsidR="001A4A8D" w:rsidRDefault="00DD7357">
      <w:pPr>
        <w:jc w:val="center"/>
      </w:pPr>
      <w:r>
        <w:t>Estadística Aplicada a la Psicología</w:t>
      </w:r>
    </w:p>
    <w:p w14:paraId="5B0B88DE" w14:textId="77777777" w:rsidR="00DD7357" w:rsidRDefault="00DD7357"/>
    <w:p w14:paraId="789E7BFB" w14:textId="77777777" w:rsidR="001A4A8D" w:rsidRDefault="001A4A8D"/>
    <w:p w14:paraId="070AED16" w14:textId="77777777" w:rsidR="00DD7357" w:rsidRDefault="00DD7357"/>
    <w:p w14:paraId="78B1533A" w14:textId="452A6900" w:rsidR="001A4A8D" w:rsidRDefault="007141C1">
      <w:r>
        <w:br w:type="page"/>
      </w:r>
    </w:p>
    <w:p w14:paraId="45D2DAAC" w14:textId="77777777" w:rsidR="001A4A8D" w:rsidRDefault="007141C1">
      <w:pPr>
        <w:spacing w:before="240" w:after="120"/>
        <w:jc w:val="center"/>
      </w:pPr>
      <w:r>
        <w:rPr>
          <w:b/>
          <w:bCs/>
        </w:rPr>
        <w:lastRenderedPageBreak/>
        <w:t>Introducción</w:t>
      </w:r>
    </w:p>
    <w:p w14:paraId="451BC30A" w14:textId="77777777" w:rsidR="001A4A8D" w:rsidRDefault="007141C1">
      <w:pPr>
        <w:ind w:firstLine="720"/>
        <w:jc w:val="both"/>
      </w:pPr>
      <w:r>
        <w:t xml:space="preserve">El uso masivo de redes sociales (RRSS) se ha transformado en uno de los rasgos definitorios de la vida cotidiana contemporánea. Según datos recientes, los adultos jóvenes pasan en promedio entre dos y cinco horas diarias en estas plataformas, con un 37 % de los adolescentes reportando un uso superior a las cinco horas (American </w:t>
      </w:r>
      <w:proofErr w:type="spellStart"/>
      <w:r>
        <w:t>Psychological</w:t>
      </w:r>
      <w:proofErr w:type="spellEnd"/>
      <w:r>
        <w:t xml:space="preserve"> </w:t>
      </w:r>
      <w:proofErr w:type="spellStart"/>
      <w:r>
        <w:t>Association</w:t>
      </w:r>
      <w:proofErr w:type="spellEnd"/>
      <w:r>
        <w:t xml:space="preserve"> [APA], 2024). Si bien estas tecnologías ofrecen oportunidades inéditas de conexión y expresión, la literatura científica acumula evidencia sobre su asociación con un deterioro de la salud mental, particularmente en términos de ansiedad, depresión y soledad (Lambert et al., 2022; </w:t>
      </w:r>
      <w:proofErr w:type="spellStart"/>
      <w:r>
        <w:t>Plackett</w:t>
      </w:r>
      <w:proofErr w:type="spellEnd"/>
      <w:r>
        <w:t xml:space="preserve"> et al., 2023). El U.S. </w:t>
      </w:r>
      <w:proofErr w:type="spellStart"/>
      <w:r>
        <w:t>Surgeon</w:t>
      </w:r>
      <w:proofErr w:type="spellEnd"/>
      <w:r>
        <w:t xml:space="preserve"> General (2023) ha advertido que los adolescentes que usan RRSS más de tres horas diarias presentan el doble de riesgo de manifestar síntomas de ansiedad y depresión, lo que ha impulsado el debate público y científico sobre los efectos del entorno digital sobre el bienestar psicológico.</w:t>
      </w:r>
    </w:p>
    <w:p w14:paraId="55162635" w14:textId="77777777" w:rsidR="001A4A8D" w:rsidRDefault="007141C1">
      <w:pPr>
        <w:ind w:firstLine="720"/>
        <w:jc w:val="both"/>
      </w:pPr>
      <w:r>
        <w:t>Sin embargo, este impacto no se distribuye de manera homogénea entre las distintas cohortes generacionales. La denominada Generación Z (nacida entre 1996 y 2010) ha crecido inmersa en estos entornos y reporta los niveles más bajos de salud mental percibida entre todas las generaciones contemporáneas (</w:t>
      </w:r>
      <w:proofErr w:type="spellStart"/>
      <w:r>
        <w:t>Coe</w:t>
      </w:r>
      <w:proofErr w:type="spellEnd"/>
      <w:r>
        <w:t xml:space="preserve"> et al., 2023). Los </w:t>
      </w:r>
      <w:proofErr w:type="spellStart"/>
      <w:r>
        <w:t>Millennials</w:t>
      </w:r>
      <w:proofErr w:type="spellEnd"/>
      <w:r>
        <w:t>, por su parte, fueron la primera cohorte en adoptar masivamente estas plataformas durante su adultez emergente, mientras que la Generación X las incorporó de manera más tardía y selectiva. Estas trayectorias diferenciales sugieren que el efecto del consumo de RRSS sobre la salud mental podría estar moderado por la generación de pertenencia, hipótesis que el presente estudio se propone examinar.</w:t>
      </w:r>
    </w:p>
    <w:p w14:paraId="4DC49559" w14:textId="77777777" w:rsidR="001A4A8D" w:rsidRDefault="007141C1">
      <w:pPr>
        <w:spacing w:before="140" w:after="60"/>
      </w:pPr>
      <w:r>
        <w:rPr>
          <w:b/>
          <w:bCs/>
          <w:i/>
          <w:iCs/>
        </w:rPr>
        <w:t>Ansiedad: estado, rasgo y sensibilidad</w:t>
      </w:r>
    </w:p>
    <w:p w14:paraId="09A245DC" w14:textId="77777777" w:rsidR="001A4A8D" w:rsidRDefault="007141C1">
      <w:pPr>
        <w:ind w:firstLine="720"/>
        <w:jc w:val="both"/>
      </w:pPr>
      <w:r>
        <w:t xml:space="preserve">La ansiedad constituye una respuesta emocional anticipatoria ante una amenaza percibida, y representa uno de los constructos más relevantes de la psicopatología contemporánea. La distinción clásica de </w:t>
      </w:r>
      <w:proofErr w:type="spellStart"/>
      <w:r>
        <w:t>Spielberger</w:t>
      </w:r>
      <w:proofErr w:type="spellEnd"/>
      <w:r>
        <w:t xml:space="preserve"> (1972) entre </w:t>
      </w:r>
      <w:r>
        <w:rPr>
          <w:i/>
          <w:iCs/>
        </w:rPr>
        <w:t>ansiedad-estado</w:t>
      </w:r>
      <w:r>
        <w:t xml:space="preserve"> (activación emocional transitoria ante una situación específica) y </w:t>
      </w:r>
      <w:r>
        <w:rPr>
          <w:i/>
          <w:iCs/>
        </w:rPr>
        <w:t>ansiedad-rasgo</w:t>
      </w:r>
      <w:r>
        <w:t xml:space="preserve"> (predisposición estable a responder con ansiedad ante una variedad de estímulos) constituye un marco fundamental para su evaluación. Sobre esta base, Reiss et al. (1986) desarrollaron el </w:t>
      </w:r>
      <w:proofErr w:type="spellStart"/>
      <w:r>
        <w:t>constructo</w:t>
      </w:r>
      <w:proofErr w:type="spellEnd"/>
      <w:r>
        <w:t xml:space="preserve"> de </w:t>
      </w:r>
      <w:r>
        <w:rPr>
          <w:i/>
          <w:iCs/>
        </w:rPr>
        <w:t>sensibilidad a la ansiedad</w:t>
      </w:r>
      <w:r>
        <w:t xml:space="preserve"> (SA), entendido como el miedo a los síntomas de la propia ansiedad debido a la creencia de que tales síntomas tendrán consecuencias dañinas. La SA opera como un factor cognitivo de vulnerabilidad ante los trastornos de ansiedad, particularmente el trastorno de pánico y la fobia social (Taylor, 1999; </w:t>
      </w:r>
      <w:proofErr w:type="spellStart"/>
      <w:r>
        <w:t>Zinbarg</w:t>
      </w:r>
      <w:proofErr w:type="spellEnd"/>
      <w:r>
        <w:t xml:space="preserve"> et al., 1997).</w:t>
      </w:r>
    </w:p>
    <w:p w14:paraId="315ECA30" w14:textId="77777777" w:rsidR="001A4A8D" w:rsidRDefault="007141C1">
      <w:pPr>
        <w:ind w:firstLine="720"/>
        <w:jc w:val="both"/>
      </w:pPr>
      <w:r>
        <w:t xml:space="preserve">La evaluación contemporánea de este constructo se realiza mediante el </w:t>
      </w:r>
      <w:proofErr w:type="spellStart"/>
      <w:r>
        <w:rPr>
          <w:i/>
          <w:iCs/>
        </w:rPr>
        <w:t>Anxiety</w:t>
      </w:r>
      <w:proofErr w:type="spellEnd"/>
      <w:r>
        <w:rPr>
          <w:i/>
          <w:iCs/>
        </w:rPr>
        <w:t xml:space="preserve"> </w:t>
      </w:r>
      <w:proofErr w:type="spellStart"/>
      <w:r>
        <w:rPr>
          <w:i/>
          <w:iCs/>
        </w:rPr>
        <w:t>Sensitivity</w:t>
      </w:r>
      <w:proofErr w:type="spellEnd"/>
      <w:r>
        <w:rPr>
          <w:i/>
          <w:iCs/>
        </w:rPr>
        <w:t xml:space="preserve"> Index-3</w:t>
      </w:r>
      <w:r>
        <w:t xml:space="preserve"> (ASI-3; Taylor et al., 2007), instrumento multidimensional que identifica tres dimensiones replicadas internacionalmente: la dimensión física (miedo a las sensaciones somáticas), la dimensión cognitiva (miedo al descontrol mental) y la dimensión social (miedo a la evaluación social de los síntomas de ansiedad). La versión española validada por Sandín et al. (2007) confirmó esta estructura tridimensional con propiedades psicométricas robustas. La subescala social, que constituye la variable dependiente del presente estudio, evalúa específicamente la preocupación por que otras personas perciban los signos visibles de ansiedad —temblor, sonrojo, sudoración— y emitan juicios negativos al respecto. Esta dimensión se vincula estrechamente con la fobia social y la sensibilidad interpersonal (Sandín et al., 2007; </w:t>
      </w:r>
      <w:proofErr w:type="spellStart"/>
      <w:r>
        <w:t>Zinbarg</w:t>
      </w:r>
      <w:proofErr w:type="spellEnd"/>
      <w:r>
        <w:t xml:space="preserve"> et al., 1997).</w:t>
      </w:r>
    </w:p>
    <w:p w14:paraId="1C7F4EEF" w14:textId="77777777" w:rsidR="001A4A8D" w:rsidRDefault="007141C1">
      <w:pPr>
        <w:ind w:firstLine="720"/>
        <w:jc w:val="both"/>
      </w:pPr>
      <w:r>
        <w:t xml:space="preserve">La articulación entre RRSS y preocupación social ansiosa resulta teóricamente plausible. Las plataformas digitales constituyen ambientes de exposición social permanente en los que la imagen propia queda sometida a una evaluación pública </w:t>
      </w:r>
      <w:proofErr w:type="gramStart"/>
      <w:r>
        <w:t>continua</w:t>
      </w:r>
      <w:proofErr w:type="gramEnd"/>
      <w:r>
        <w:t xml:space="preserve"> mediada por métricas visibles (</w:t>
      </w:r>
      <w:proofErr w:type="spellStart"/>
      <w:r>
        <w:t>likes</w:t>
      </w:r>
      <w:proofErr w:type="spellEnd"/>
      <w:r>
        <w:t xml:space="preserve">, comentarios, seguidores). Estudios recientes han documentado asociaciones significativas </w:t>
      </w:r>
      <w:r>
        <w:lastRenderedPageBreak/>
        <w:t xml:space="preserve">entre el uso intensivo de RRSS y síntomas de ansiedad social, particularmente entre usuarios jóvenes (Calvert et al., 2025; </w:t>
      </w:r>
      <w:proofErr w:type="spellStart"/>
      <w:r>
        <w:t>Thorisdottir</w:t>
      </w:r>
      <w:proofErr w:type="spellEnd"/>
      <w:r>
        <w:t xml:space="preserve"> et al., 2020). Una revisión sistemática reciente confirma esta asociación en adolescentes y adultos jóvenes, aunque señala que los tamaños del efecto son habitualmente pequeños y que existen importantes moderadores poblacionales aún poco estudiados (</w:t>
      </w:r>
      <w:proofErr w:type="spellStart"/>
      <w:r>
        <w:t>Corke</w:t>
      </w:r>
      <w:proofErr w:type="spellEnd"/>
      <w:r>
        <w:t xml:space="preserve"> et al., 2025).</w:t>
      </w:r>
    </w:p>
    <w:p w14:paraId="5B03E2D7" w14:textId="77777777" w:rsidR="001A4A8D" w:rsidRDefault="007141C1">
      <w:pPr>
        <w:spacing w:before="140" w:after="60"/>
      </w:pPr>
      <w:r>
        <w:rPr>
          <w:b/>
          <w:bCs/>
          <w:i/>
          <w:iCs/>
        </w:rPr>
        <w:t>Objetivos</w:t>
      </w:r>
    </w:p>
    <w:p w14:paraId="3F223EE7" w14:textId="77777777" w:rsidR="001A4A8D" w:rsidRDefault="007141C1">
      <w:pPr>
        <w:ind w:firstLine="720"/>
        <w:jc w:val="both"/>
      </w:pPr>
      <w:r>
        <w:t xml:space="preserve">El presente estudio se propone como </w:t>
      </w:r>
      <w:r>
        <w:rPr>
          <w:b/>
          <w:bCs/>
        </w:rPr>
        <w:t>objetivo general</w:t>
      </w:r>
      <w:r>
        <w:t xml:space="preserve"> examinar el efecto del consumo de RRSS y la pertenencia generacional sobre la preocupación social ansiosa, medida a través de la subescala social del ASI-3. Los </w:t>
      </w:r>
      <w:r>
        <w:rPr>
          <w:b/>
          <w:bCs/>
        </w:rPr>
        <w:t>objetivos específicos</w:t>
      </w:r>
      <w:r>
        <w:t xml:space="preserve"> son: (1) comparar los niveles de preocupación social ansiosa entre participantes con alto y bajo consumo de RRSS; (2) comparar los niveles de preocupación social ansiosa entre tres cohortes generacionales (Generación Z, </w:t>
      </w:r>
      <w:proofErr w:type="spellStart"/>
      <w:r>
        <w:t>Millennials</w:t>
      </w:r>
      <w:proofErr w:type="spellEnd"/>
      <w:r>
        <w:t xml:space="preserve"> y Generación X); y (3) evaluar si el efecto del consumo de RRSS sobre la preocupación social ansiosa está moderado por la generación de pertenencia.</w:t>
      </w:r>
    </w:p>
    <w:p w14:paraId="1FD3F3DE" w14:textId="77777777" w:rsidR="001A4A8D" w:rsidRDefault="007141C1">
      <w:pPr>
        <w:spacing w:before="140" w:after="60"/>
      </w:pPr>
      <w:r>
        <w:rPr>
          <w:b/>
          <w:bCs/>
          <w:i/>
          <w:iCs/>
        </w:rPr>
        <w:t>Hipótesis</w:t>
      </w:r>
    </w:p>
    <w:p w14:paraId="213F5E39" w14:textId="6E6D1EF9" w:rsidR="001A4A8D" w:rsidRDefault="007141C1" w:rsidP="00731A6E">
      <w:pPr>
        <w:ind w:firstLine="720"/>
        <w:jc w:val="both"/>
      </w:pPr>
      <w:r>
        <w:rPr>
          <w:b/>
          <w:bCs/>
        </w:rPr>
        <w:t xml:space="preserve">Hipótesis 1 (efecto principal del uso de RRSS). </w:t>
      </w:r>
      <w:r w:rsidR="00731A6E">
        <w:t>Lo</w:t>
      </w:r>
      <w:r>
        <w:t xml:space="preserve">s participantes con alto uso de RRSS (&gt;2 h/día) presentarán mayor preocupación social ansiosa que aquellos con bajo uso (≤2 h/día). </w:t>
      </w:r>
      <w:r>
        <w:rPr>
          <w:i/>
          <w:iCs/>
        </w:rPr>
        <w:t xml:space="preserve">Estadística: </w:t>
      </w:r>
      <w:r>
        <w:t xml:space="preserve">H₀: </w:t>
      </w:r>
      <w:proofErr w:type="spellStart"/>
      <w:r>
        <w:t>μ</w:t>
      </w:r>
      <w:r>
        <w:rPr>
          <w:vertAlign w:val="subscript"/>
        </w:rPr>
        <w:t>alto</w:t>
      </w:r>
      <w:proofErr w:type="spellEnd"/>
      <w:r>
        <w:t xml:space="preserve"> = </w:t>
      </w:r>
      <w:proofErr w:type="spellStart"/>
      <w:r>
        <w:t>μ</w:t>
      </w:r>
      <w:r>
        <w:rPr>
          <w:vertAlign w:val="subscript"/>
        </w:rPr>
        <w:t>bajo</w:t>
      </w:r>
      <w:proofErr w:type="spellEnd"/>
      <w:r>
        <w:t xml:space="preserve">; H₁: </w:t>
      </w:r>
      <w:proofErr w:type="spellStart"/>
      <w:r>
        <w:t>μ</w:t>
      </w:r>
      <w:r>
        <w:rPr>
          <w:vertAlign w:val="subscript"/>
        </w:rPr>
        <w:t>alto</w:t>
      </w:r>
      <w:proofErr w:type="spellEnd"/>
      <w:r>
        <w:t xml:space="preserve"> ≠ </w:t>
      </w:r>
      <w:proofErr w:type="spellStart"/>
      <w:r>
        <w:t>μ</w:t>
      </w:r>
      <w:r>
        <w:rPr>
          <w:vertAlign w:val="subscript"/>
        </w:rPr>
        <w:t>bajo</w:t>
      </w:r>
      <w:proofErr w:type="spellEnd"/>
      <w:r>
        <w:t>.</w:t>
      </w:r>
    </w:p>
    <w:p w14:paraId="170E6AA1" w14:textId="7D748840" w:rsidR="001A4A8D" w:rsidRDefault="007141C1">
      <w:pPr>
        <w:ind w:firstLine="720"/>
        <w:jc w:val="both"/>
      </w:pPr>
      <w:r>
        <w:rPr>
          <w:b/>
          <w:bCs/>
        </w:rPr>
        <w:t xml:space="preserve">Hipótesis 2 (efecto principal de la generación). </w:t>
      </w:r>
      <w:r w:rsidR="00731A6E">
        <w:t>E</w:t>
      </w:r>
      <w:r>
        <w:t xml:space="preserve">xistirán diferencias significativas en la preocupación social ansiosa entre las tres cohortes generacionales evaluadas, con valores más altos en cohortes jóvenes. </w:t>
      </w:r>
      <w:r>
        <w:rPr>
          <w:i/>
          <w:iCs/>
        </w:rPr>
        <w:t xml:space="preserve">Estadística: </w:t>
      </w:r>
      <w:r>
        <w:t xml:space="preserve">H₀: </w:t>
      </w:r>
      <w:proofErr w:type="spellStart"/>
      <w:r>
        <w:t>μ</w:t>
      </w:r>
      <w:r>
        <w:rPr>
          <w:vertAlign w:val="subscript"/>
        </w:rPr>
        <w:t>GenZ</w:t>
      </w:r>
      <w:proofErr w:type="spellEnd"/>
      <w:r>
        <w:t xml:space="preserve"> = </w:t>
      </w:r>
      <w:proofErr w:type="spellStart"/>
      <w:r>
        <w:t>μ</w:t>
      </w:r>
      <w:r>
        <w:rPr>
          <w:vertAlign w:val="subscript"/>
        </w:rPr>
        <w:t>Mill</w:t>
      </w:r>
      <w:proofErr w:type="spellEnd"/>
      <w:r>
        <w:t xml:space="preserve"> = </w:t>
      </w:r>
      <w:proofErr w:type="spellStart"/>
      <w:r>
        <w:t>μ</w:t>
      </w:r>
      <w:r>
        <w:rPr>
          <w:vertAlign w:val="subscript"/>
        </w:rPr>
        <w:t>GenX</w:t>
      </w:r>
      <w:proofErr w:type="spellEnd"/>
      <w:r>
        <w:t>; H₁: al menos una μᵢ ≠ μⱼ.</w:t>
      </w:r>
    </w:p>
    <w:p w14:paraId="1F1D65A0" w14:textId="191163DE" w:rsidR="001A4A8D" w:rsidRDefault="007141C1">
      <w:pPr>
        <w:ind w:firstLine="720"/>
        <w:jc w:val="both"/>
      </w:pPr>
      <w:r w:rsidRPr="00731A6E">
        <w:rPr>
          <w:b/>
          <w:bCs/>
          <w:highlight w:val="yellow"/>
        </w:rPr>
        <w:t xml:space="preserve">Hipótesis 3 (interacción Generación × Uso de RRSS). </w:t>
      </w:r>
      <w:r w:rsidR="00731A6E" w:rsidRPr="00731A6E">
        <w:rPr>
          <w:highlight w:val="yellow"/>
        </w:rPr>
        <w:t>E</w:t>
      </w:r>
      <w:r w:rsidRPr="00731A6E">
        <w:rPr>
          <w:highlight w:val="yellow"/>
        </w:rPr>
        <w:t xml:space="preserve">l efecto del consumo de RRSS sobre la preocupación social ansiosa estará moderado por la generación de pertenencia; es decir, la magnitud de la diferencia entre alto y bajo uso variará según la cohorte generacional. </w:t>
      </w:r>
      <w:r w:rsidRPr="00731A6E">
        <w:rPr>
          <w:i/>
          <w:iCs/>
          <w:highlight w:val="yellow"/>
        </w:rPr>
        <w:t xml:space="preserve">Estadística: </w:t>
      </w:r>
      <w:r w:rsidRPr="00731A6E">
        <w:rPr>
          <w:highlight w:val="yellow"/>
        </w:rPr>
        <w:t>H₀: el efecto de interacción Generación × Uso = 0; H₁: el efecto de interacción Generación × Uso ≠ 0.</w:t>
      </w:r>
    </w:p>
    <w:p w14:paraId="45D07B60" w14:textId="77777777" w:rsidR="001A4A8D" w:rsidRDefault="007141C1">
      <w:pPr>
        <w:spacing w:before="240" w:after="120"/>
        <w:jc w:val="center"/>
      </w:pPr>
      <w:r>
        <w:rPr>
          <w:b/>
          <w:bCs/>
        </w:rPr>
        <w:t>Método</w:t>
      </w:r>
    </w:p>
    <w:p w14:paraId="6A19D9F4" w14:textId="77777777" w:rsidR="001A4A8D" w:rsidRDefault="007141C1">
      <w:pPr>
        <w:spacing w:before="180" w:after="80"/>
      </w:pPr>
      <w:r>
        <w:rPr>
          <w:b/>
          <w:bCs/>
        </w:rPr>
        <w:t>Participantes</w:t>
      </w:r>
    </w:p>
    <w:p w14:paraId="7CCB5BCD" w14:textId="2EB1778A" w:rsidR="001A4A8D" w:rsidRDefault="007141C1">
      <w:pPr>
        <w:ind w:firstLine="720"/>
        <w:jc w:val="both"/>
      </w:pPr>
      <w:r>
        <w:t>La muestra estuvo conformada por 86 participantes adultos residentes en la Ciudad Autónoma de Buenos Aires y la Provincia de Buenos Aires. El cuestionario fue administrado de manera presencial durante el primer cuatrimestre de 2026. Las edades oscilaron entre los 18 y los 59 años (</w:t>
      </w:r>
      <w:r w:rsidRPr="00731A6E">
        <w:rPr>
          <w:i/>
          <w:iCs/>
          <w:highlight w:val="yellow"/>
        </w:rPr>
        <w:t>M</w:t>
      </w:r>
      <w:r w:rsidRPr="00731A6E">
        <w:rPr>
          <w:highlight w:val="yellow"/>
        </w:rPr>
        <w:t xml:space="preserve"> = 32.48; </w:t>
      </w:r>
      <w:r w:rsidRPr="00731A6E">
        <w:rPr>
          <w:i/>
          <w:iCs/>
          <w:highlight w:val="yellow"/>
        </w:rPr>
        <w:t>DT</w:t>
      </w:r>
      <w:r w:rsidRPr="00731A6E">
        <w:rPr>
          <w:highlight w:val="yellow"/>
        </w:rPr>
        <w:t xml:space="preserve"> = 11.12</w:t>
      </w:r>
      <w:r>
        <w:t xml:space="preserve">). La distribución por cohorte generacional fue la siguiente: Generación Z (nacidos entre 1996 y 2010; </w:t>
      </w:r>
      <w:r>
        <w:rPr>
          <w:i/>
          <w:iCs/>
        </w:rPr>
        <w:t>n</w:t>
      </w:r>
      <w:r>
        <w:t xml:space="preserve"> = 39; 45.3 %), </w:t>
      </w:r>
      <w:proofErr w:type="spellStart"/>
      <w:r>
        <w:t>Millennials</w:t>
      </w:r>
      <w:proofErr w:type="spellEnd"/>
      <w:r>
        <w:t xml:space="preserve"> (nacidos entre 1981 y 1995; </w:t>
      </w:r>
      <w:r>
        <w:rPr>
          <w:i/>
          <w:iCs/>
        </w:rPr>
        <w:t>n</w:t>
      </w:r>
      <w:r>
        <w:t xml:space="preserve"> = 35; 40.7 %) y Generación X (nacidos entre 1965 y 1980; </w:t>
      </w:r>
      <w:r>
        <w:rPr>
          <w:i/>
          <w:iCs/>
        </w:rPr>
        <w:t>n</w:t>
      </w:r>
      <w:r>
        <w:t xml:space="preserve"> = 12; 14.0 %). Si bien la muestra original incluía cuatro participantes pertenecientes a la cohorte Baby </w:t>
      </w:r>
      <w:proofErr w:type="spellStart"/>
      <w:r>
        <w:t>Boomers</w:t>
      </w:r>
      <w:proofErr w:type="spellEnd"/>
      <w:r>
        <w:t>, dichos casos fueron excluidos del análisis principal debido a que su tamaño muestral (</w:t>
      </w:r>
      <w:r>
        <w:rPr>
          <w:i/>
          <w:iCs/>
        </w:rPr>
        <w:t>n</w:t>
      </w:r>
      <w:r>
        <w:t xml:space="preserve"> = 4) resultaba insuficiente para sostener inferencia estadística confiable dentro de un diseño factorial </w:t>
      </w:r>
      <w:proofErr w:type="spellStart"/>
      <w:r>
        <w:t>entre-sujetos</w:t>
      </w:r>
      <w:proofErr w:type="spellEnd"/>
      <w:r>
        <w:t>, según los criterios de potencia derivados del Teorema Central del Límite (Botella et al., 2012).</w:t>
      </w:r>
    </w:p>
    <w:p w14:paraId="208DB279" w14:textId="77777777" w:rsidR="001A4A8D" w:rsidRDefault="007141C1">
      <w:pPr>
        <w:ind w:firstLine="720"/>
        <w:jc w:val="both"/>
      </w:pPr>
      <w:r>
        <w:t xml:space="preserve">Respecto al consumo de redes sociales, los participantes reportaron un promedio de 3.20 horas diarias </w:t>
      </w:r>
      <w:r w:rsidRPr="00731A6E">
        <w:rPr>
          <w:highlight w:val="yellow"/>
        </w:rPr>
        <w:t>(</w:t>
      </w:r>
      <w:r w:rsidRPr="00731A6E">
        <w:rPr>
          <w:i/>
          <w:iCs/>
          <w:highlight w:val="yellow"/>
        </w:rPr>
        <w:t>DT</w:t>
      </w:r>
      <w:r w:rsidRPr="00731A6E">
        <w:rPr>
          <w:highlight w:val="yellow"/>
        </w:rPr>
        <w:t xml:space="preserve"> = 2.17; rango = 0–13).</w:t>
      </w:r>
      <w:r>
        <w:t xml:space="preserve"> Para los fines del diseño factorial, esta variable fue dicotomizada en dos niveles a partir del umbral de las 2 horas diarias —criterio respaldado por la literatura clínica reciente (American </w:t>
      </w:r>
      <w:proofErr w:type="spellStart"/>
      <w:r>
        <w:t>Psychological</w:t>
      </w:r>
      <w:proofErr w:type="spellEnd"/>
      <w:r>
        <w:t xml:space="preserve"> </w:t>
      </w:r>
      <w:proofErr w:type="spellStart"/>
      <w:r>
        <w:t>Association</w:t>
      </w:r>
      <w:proofErr w:type="spellEnd"/>
      <w:r>
        <w:t xml:space="preserve">, 2024; </w:t>
      </w:r>
      <w:proofErr w:type="spellStart"/>
      <w:r>
        <w:t>Hanley</w:t>
      </w:r>
      <w:proofErr w:type="spellEnd"/>
      <w:r>
        <w:t xml:space="preserve"> et al., 2022)—, resultando en un grupo de bajo uso (≤2 h/día; </w:t>
      </w:r>
      <w:r>
        <w:rPr>
          <w:i/>
          <w:iCs/>
        </w:rPr>
        <w:t>n</w:t>
      </w:r>
      <w:r>
        <w:t xml:space="preserve"> = 38; 44.2 %) y un grupo de alto uso (&gt;2 h/día; </w:t>
      </w:r>
      <w:r>
        <w:rPr>
          <w:i/>
          <w:iCs/>
        </w:rPr>
        <w:t>n</w:t>
      </w:r>
      <w:r>
        <w:t xml:space="preserve"> = 48; 55.8 %). La distribución conjunta de ambos factores se presenta en la Tabla 1.</w:t>
      </w:r>
    </w:p>
    <w:p w14:paraId="77048E1E" w14:textId="77777777" w:rsidR="001A4A8D" w:rsidRDefault="007141C1">
      <w:pPr>
        <w:ind w:firstLine="720"/>
        <w:jc w:val="both"/>
      </w:pPr>
      <w:r>
        <w:lastRenderedPageBreak/>
        <w:t>La participación fue voluntaria, anónima y precedida por la aceptación de un consentimiento informado. No se aplicaron criterios de exclusión vinculados a antecedentes clínicos, dada la naturaleza no clínica del estudio.</w:t>
      </w:r>
    </w:p>
    <w:p w14:paraId="04CCFDA7" w14:textId="77777777" w:rsidR="001A4A8D" w:rsidRDefault="001A4A8D"/>
    <w:p w14:paraId="472BA0BF" w14:textId="77777777" w:rsidR="001A4A8D" w:rsidRPr="00731A6E" w:rsidRDefault="007141C1">
      <w:pPr>
        <w:rPr>
          <w:highlight w:val="yellow"/>
        </w:rPr>
      </w:pPr>
      <w:r w:rsidRPr="00731A6E">
        <w:rPr>
          <w:b/>
          <w:bCs/>
          <w:highlight w:val="yellow"/>
        </w:rPr>
        <w:t>Tabla 1</w:t>
      </w:r>
    </w:p>
    <w:p w14:paraId="6FC29840" w14:textId="77777777" w:rsidR="001A4A8D" w:rsidRPr="00731A6E" w:rsidRDefault="007141C1">
      <w:pPr>
        <w:spacing w:after="80"/>
        <w:rPr>
          <w:highlight w:val="yellow"/>
        </w:rPr>
      </w:pPr>
      <w:r w:rsidRPr="00731A6E">
        <w:rPr>
          <w:i/>
          <w:iCs/>
          <w:highlight w:val="yellow"/>
        </w:rPr>
        <w:t>Distribución de la muestra según cohorte generacional y nivel de uso de redes sociales (N = 86)</w:t>
      </w:r>
    </w:p>
    <w:tbl>
      <w:tblPr>
        <w:tblW w:w="8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1600"/>
        <w:gridCol w:w="1600"/>
        <w:gridCol w:w="1600"/>
      </w:tblGrid>
      <w:tr w:rsidR="001A4A8D" w:rsidRPr="00731A6E" w14:paraId="7291521E" w14:textId="77777777">
        <w:tc>
          <w:tcPr>
            <w:tcW w:w="3200" w:type="dxa"/>
            <w:tcBorders>
              <w:top w:val="single" w:sz="4"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14:paraId="1757B96D" w14:textId="77777777" w:rsidR="001A4A8D" w:rsidRPr="00731A6E" w:rsidRDefault="007141C1">
            <w:pPr>
              <w:rPr>
                <w:highlight w:val="yellow"/>
              </w:rPr>
            </w:pPr>
            <w:r w:rsidRPr="00731A6E">
              <w:rPr>
                <w:b/>
                <w:bCs/>
                <w:highlight w:val="yellow"/>
              </w:rPr>
              <w:t>Cohorte generacional</w:t>
            </w:r>
          </w:p>
        </w:tc>
        <w:tc>
          <w:tcPr>
            <w:tcW w:w="1600" w:type="dxa"/>
            <w:tcBorders>
              <w:top w:val="single" w:sz="4"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14:paraId="1B714CE9" w14:textId="77777777" w:rsidR="001A4A8D" w:rsidRPr="00731A6E" w:rsidRDefault="007141C1">
            <w:pPr>
              <w:jc w:val="center"/>
              <w:rPr>
                <w:highlight w:val="yellow"/>
              </w:rPr>
            </w:pPr>
            <w:r w:rsidRPr="00731A6E">
              <w:rPr>
                <w:b/>
                <w:bCs/>
                <w:highlight w:val="yellow"/>
              </w:rPr>
              <w:t>Bajo uso (≤2 h)</w:t>
            </w:r>
          </w:p>
        </w:tc>
        <w:tc>
          <w:tcPr>
            <w:tcW w:w="1600" w:type="dxa"/>
            <w:tcBorders>
              <w:top w:val="single" w:sz="4"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14:paraId="64A056F7" w14:textId="77777777" w:rsidR="001A4A8D" w:rsidRPr="00731A6E" w:rsidRDefault="007141C1">
            <w:pPr>
              <w:jc w:val="center"/>
              <w:rPr>
                <w:highlight w:val="yellow"/>
              </w:rPr>
            </w:pPr>
            <w:r w:rsidRPr="00731A6E">
              <w:rPr>
                <w:b/>
                <w:bCs/>
                <w:highlight w:val="yellow"/>
              </w:rPr>
              <w:t>Alto uso (&gt;2 h)</w:t>
            </w:r>
          </w:p>
        </w:tc>
        <w:tc>
          <w:tcPr>
            <w:tcW w:w="1600" w:type="dxa"/>
            <w:tcBorders>
              <w:top w:val="single" w:sz="4"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14:paraId="76353724" w14:textId="77777777" w:rsidR="001A4A8D" w:rsidRPr="00731A6E" w:rsidRDefault="007141C1">
            <w:pPr>
              <w:jc w:val="center"/>
              <w:rPr>
                <w:highlight w:val="yellow"/>
              </w:rPr>
            </w:pPr>
            <w:r w:rsidRPr="00731A6E">
              <w:rPr>
                <w:b/>
                <w:bCs/>
                <w:highlight w:val="yellow"/>
              </w:rPr>
              <w:t>Total</w:t>
            </w:r>
          </w:p>
        </w:tc>
      </w:tr>
      <w:tr w:rsidR="001A4A8D" w:rsidRPr="00731A6E" w14:paraId="06AB5108" w14:textId="77777777">
        <w:tc>
          <w:tcPr>
            <w:tcW w:w="32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4C08346C" w14:textId="77777777" w:rsidR="001A4A8D" w:rsidRPr="00731A6E" w:rsidRDefault="007141C1">
            <w:pPr>
              <w:rPr>
                <w:highlight w:val="yellow"/>
              </w:rPr>
            </w:pPr>
            <w:r w:rsidRPr="00731A6E">
              <w:rPr>
                <w:highlight w:val="yellow"/>
              </w:rPr>
              <w:t>Generación Z</w:t>
            </w:r>
          </w:p>
        </w:tc>
        <w:tc>
          <w:tcPr>
            <w:tcW w:w="16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71CFDFE2" w14:textId="77777777" w:rsidR="001A4A8D" w:rsidRPr="00731A6E" w:rsidRDefault="007141C1">
            <w:pPr>
              <w:jc w:val="center"/>
              <w:rPr>
                <w:highlight w:val="yellow"/>
              </w:rPr>
            </w:pPr>
            <w:r w:rsidRPr="00731A6E">
              <w:rPr>
                <w:highlight w:val="yellow"/>
              </w:rPr>
              <w:t>11</w:t>
            </w:r>
          </w:p>
        </w:tc>
        <w:tc>
          <w:tcPr>
            <w:tcW w:w="16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4ECCDA56" w14:textId="77777777" w:rsidR="001A4A8D" w:rsidRPr="00731A6E" w:rsidRDefault="007141C1">
            <w:pPr>
              <w:jc w:val="center"/>
              <w:rPr>
                <w:highlight w:val="yellow"/>
              </w:rPr>
            </w:pPr>
            <w:r w:rsidRPr="00731A6E">
              <w:rPr>
                <w:highlight w:val="yellow"/>
              </w:rPr>
              <w:t>28</w:t>
            </w:r>
          </w:p>
        </w:tc>
        <w:tc>
          <w:tcPr>
            <w:tcW w:w="16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23E0EB30" w14:textId="77777777" w:rsidR="001A4A8D" w:rsidRPr="00731A6E" w:rsidRDefault="007141C1">
            <w:pPr>
              <w:jc w:val="center"/>
              <w:rPr>
                <w:highlight w:val="yellow"/>
              </w:rPr>
            </w:pPr>
            <w:r w:rsidRPr="00731A6E">
              <w:rPr>
                <w:highlight w:val="yellow"/>
              </w:rPr>
              <w:t>39</w:t>
            </w:r>
          </w:p>
        </w:tc>
      </w:tr>
      <w:tr w:rsidR="001A4A8D" w:rsidRPr="00731A6E" w14:paraId="60BD696A" w14:textId="77777777">
        <w:tc>
          <w:tcPr>
            <w:tcW w:w="32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7550430B" w14:textId="77777777" w:rsidR="001A4A8D" w:rsidRPr="00731A6E" w:rsidRDefault="007141C1">
            <w:pPr>
              <w:rPr>
                <w:highlight w:val="yellow"/>
              </w:rPr>
            </w:pPr>
            <w:proofErr w:type="spellStart"/>
            <w:r w:rsidRPr="00731A6E">
              <w:rPr>
                <w:highlight w:val="yellow"/>
              </w:rPr>
              <w:t>Millennials</w:t>
            </w:r>
            <w:proofErr w:type="spellEnd"/>
          </w:p>
        </w:tc>
        <w:tc>
          <w:tcPr>
            <w:tcW w:w="16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23290478" w14:textId="77777777" w:rsidR="001A4A8D" w:rsidRPr="00731A6E" w:rsidRDefault="007141C1">
            <w:pPr>
              <w:jc w:val="center"/>
              <w:rPr>
                <w:highlight w:val="yellow"/>
              </w:rPr>
            </w:pPr>
            <w:r w:rsidRPr="00731A6E">
              <w:rPr>
                <w:highlight w:val="yellow"/>
              </w:rPr>
              <w:t>17</w:t>
            </w:r>
          </w:p>
        </w:tc>
        <w:tc>
          <w:tcPr>
            <w:tcW w:w="16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779D32A7" w14:textId="77777777" w:rsidR="001A4A8D" w:rsidRPr="00731A6E" w:rsidRDefault="007141C1">
            <w:pPr>
              <w:jc w:val="center"/>
              <w:rPr>
                <w:highlight w:val="yellow"/>
              </w:rPr>
            </w:pPr>
            <w:r w:rsidRPr="00731A6E">
              <w:rPr>
                <w:highlight w:val="yellow"/>
              </w:rPr>
              <w:t>18</w:t>
            </w:r>
          </w:p>
        </w:tc>
        <w:tc>
          <w:tcPr>
            <w:tcW w:w="16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64AD204F" w14:textId="77777777" w:rsidR="001A4A8D" w:rsidRPr="00731A6E" w:rsidRDefault="007141C1">
            <w:pPr>
              <w:jc w:val="center"/>
              <w:rPr>
                <w:highlight w:val="yellow"/>
              </w:rPr>
            </w:pPr>
            <w:r w:rsidRPr="00731A6E">
              <w:rPr>
                <w:highlight w:val="yellow"/>
              </w:rPr>
              <w:t>35</w:t>
            </w:r>
          </w:p>
        </w:tc>
      </w:tr>
      <w:tr w:rsidR="001A4A8D" w:rsidRPr="00731A6E" w14:paraId="202FA1B4" w14:textId="77777777">
        <w:tc>
          <w:tcPr>
            <w:tcW w:w="32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5D81E4DE" w14:textId="77777777" w:rsidR="001A4A8D" w:rsidRPr="00731A6E" w:rsidRDefault="007141C1">
            <w:pPr>
              <w:rPr>
                <w:highlight w:val="yellow"/>
              </w:rPr>
            </w:pPr>
            <w:r w:rsidRPr="00731A6E">
              <w:rPr>
                <w:highlight w:val="yellow"/>
              </w:rPr>
              <w:t>Generación X</w:t>
            </w:r>
          </w:p>
        </w:tc>
        <w:tc>
          <w:tcPr>
            <w:tcW w:w="16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5B35FEED" w14:textId="77777777" w:rsidR="001A4A8D" w:rsidRPr="00731A6E" w:rsidRDefault="007141C1">
            <w:pPr>
              <w:jc w:val="center"/>
              <w:rPr>
                <w:highlight w:val="yellow"/>
              </w:rPr>
            </w:pPr>
            <w:r w:rsidRPr="00731A6E">
              <w:rPr>
                <w:highlight w:val="yellow"/>
              </w:rPr>
              <w:t>10</w:t>
            </w:r>
          </w:p>
        </w:tc>
        <w:tc>
          <w:tcPr>
            <w:tcW w:w="16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4181A19D" w14:textId="77777777" w:rsidR="001A4A8D" w:rsidRPr="00731A6E" w:rsidRDefault="007141C1">
            <w:pPr>
              <w:jc w:val="center"/>
              <w:rPr>
                <w:highlight w:val="yellow"/>
              </w:rPr>
            </w:pPr>
            <w:r w:rsidRPr="00731A6E">
              <w:rPr>
                <w:highlight w:val="yellow"/>
              </w:rPr>
              <w:t>2</w:t>
            </w:r>
          </w:p>
        </w:tc>
        <w:tc>
          <w:tcPr>
            <w:tcW w:w="16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2521E3DF" w14:textId="77777777" w:rsidR="001A4A8D" w:rsidRPr="00731A6E" w:rsidRDefault="007141C1">
            <w:pPr>
              <w:jc w:val="center"/>
              <w:rPr>
                <w:highlight w:val="yellow"/>
              </w:rPr>
            </w:pPr>
            <w:r w:rsidRPr="00731A6E">
              <w:rPr>
                <w:highlight w:val="yellow"/>
              </w:rPr>
              <w:t>12</w:t>
            </w:r>
          </w:p>
        </w:tc>
      </w:tr>
      <w:tr w:rsidR="001A4A8D" w:rsidRPr="00731A6E" w14:paraId="0C469F5A" w14:textId="77777777">
        <w:tc>
          <w:tcPr>
            <w:tcW w:w="3200" w:type="dxa"/>
            <w:tcBorders>
              <w:top w:val="none" w:sz="0" w:space="0" w:color="FFFFFF"/>
              <w:left w:val="none" w:sz="0" w:space="0" w:color="FFFFFF"/>
              <w:bottom w:val="single" w:sz="4" w:space="0" w:color="000000"/>
              <w:right w:val="none" w:sz="0" w:space="0" w:color="FFFFFF"/>
            </w:tcBorders>
            <w:tcMar>
              <w:top w:w="60" w:type="dxa"/>
              <w:left w:w="100" w:type="dxa"/>
              <w:bottom w:w="60" w:type="dxa"/>
              <w:right w:w="100" w:type="dxa"/>
            </w:tcMar>
            <w:vAlign w:val="center"/>
          </w:tcPr>
          <w:p w14:paraId="5E5B3900" w14:textId="77777777" w:rsidR="001A4A8D" w:rsidRPr="00731A6E" w:rsidRDefault="007141C1">
            <w:pPr>
              <w:rPr>
                <w:highlight w:val="yellow"/>
              </w:rPr>
            </w:pPr>
            <w:r w:rsidRPr="00731A6E">
              <w:rPr>
                <w:b/>
                <w:bCs/>
                <w:highlight w:val="yellow"/>
              </w:rPr>
              <w:t>Total</w:t>
            </w:r>
          </w:p>
        </w:tc>
        <w:tc>
          <w:tcPr>
            <w:tcW w:w="1600" w:type="dxa"/>
            <w:tcBorders>
              <w:top w:val="none" w:sz="0" w:space="0" w:color="FFFFFF"/>
              <w:left w:val="none" w:sz="0" w:space="0" w:color="FFFFFF"/>
              <w:bottom w:val="single" w:sz="4" w:space="0" w:color="000000"/>
              <w:right w:val="none" w:sz="0" w:space="0" w:color="FFFFFF"/>
            </w:tcBorders>
            <w:tcMar>
              <w:top w:w="60" w:type="dxa"/>
              <w:left w:w="100" w:type="dxa"/>
              <w:bottom w:w="60" w:type="dxa"/>
              <w:right w:w="100" w:type="dxa"/>
            </w:tcMar>
            <w:vAlign w:val="center"/>
          </w:tcPr>
          <w:p w14:paraId="6CA6A132" w14:textId="77777777" w:rsidR="001A4A8D" w:rsidRPr="00731A6E" w:rsidRDefault="007141C1">
            <w:pPr>
              <w:jc w:val="center"/>
              <w:rPr>
                <w:highlight w:val="yellow"/>
              </w:rPr>
            </w:pPr>
            <w:r w:rsidRPr="00731A6E">
              <w:rPr>
                <w:b/>
                <w:bCs/>
                <w:highlight w:val="yellow"/>
              </w:rPr>
              <w:t>38</w:t>
            </w:r>
          </w:p>
        </w:tc>
        <w:tc>
          <w:tcPr>
            <w:tcW w:w="1600" w:type="dxa"/>
            <w:tcBorders>
              <w:top w:val="none" w:sz="0" w:space="0" w:color="FFFFFF"/>
              <w:left w:val="none" w:sz="0" w:space="0" w:color="FFFFFF"/>
              <w:bottom w:val="single" w:sz="4" w:space="0" w:color="000000"/>
              <w:right w:val="none" w:sz="0" w:space="0" w:color="FFFFFF"/>
            </w:tcBorders>
            <w:tcMar>
              <w:top w:w="60" w:type="dxa"/>
              <w:left w:w="100" w:type="dxa"/>
              <w:bottom w:w="60" w:type="dxa"/>
              <w:right w:w="100" w:type="dxa"/>
            </w:tcMar>
            <w:vAlign w:val="center"/>
          </w:tcPr>
          <w:p w14:paraId="4F82E018" w14:textId="77777777" w:rsidR="001A4A8D" w:rsidRPr="00731A6E" w:rsidRDefault="007141C1">
            <w:pPr>
              <w:jc w:val="center"/>
              <w:rPr>
                <w:highlight w:val="yellow"/>
              </w:rPr>
            </w:pPr>
            <w:r w:rsidRPr="00731A6E">
              <w:rPr>
                <w:b/>
                <w:bCs/>
                <w:highlight w:val="yellow"/>
              </w:rPr>
              <w:t>48</w:t>
            </w:r>
          </w:p>
        </w:tc>
        <w:tc>
          <w:tcPr>
            <w:tcW w:w="1600" w:type="dxa"/>
            <w:tcBorders>
              <w:top w:val="none" w:sz="0" w:space="0" w:color="FFFFFF"/>
              <w:left w:val="none" w:sz="0" w:space="0" w:color="FFFFFF"/>
              <w:bottom w:val="single" w:sz="4" w:space="0" w:color="000000"/>
              <w:right w:val="none" w:sz="0" w:space="0" w:color="FFFFFF"/>
            </w:tcBorders>
            <w:tcMar>
              <w:top w:w="60" w:type="dxa"/>
              <w:left w:w="100" w:type="dxa"/>
              <w:bottom w:w="60" w:type="dxa"/>
              <w:right w:w="100" w:type="dxa"/>
            </w:tcMar>
            <w:vAlign w:val="center"/>
          </w:tcPr>
          <w:p w14:paraId="6ADBC5F8" w14:textId="77777777" w:rsidR="001A4A8D" w:rsidRPr="00731A6E" w:rsidRDefault="007141C1">
            <w:pPr>
              <w:jc w:val="center"/>
              <w:rPr>
                <w:highlight w:val="yellow"/>
              </w:rPr>
            </w:pPr>
            <w:r w:rsidRPr="00731A6E">
              <w:rPr>
                <w:b/>
                <w:bCs/>
                <w:highlight w:val="yellow"/>
              </w:rPr>
              <w:t>86</w:t>
            </w:r>
          </w:p>
        </w:tc>
      </w:tr>
    </w:tbl>
    <w:p w14:paraId="0C5BF4AC" w14:textId="77777777" w:rsidR="001A4A8D" w:rsidRDefault="007141C1">
      <w:pPr>
        <w:spacing w:before="60"/>
      </w:pPr>
      <w:r w:rsidRPr="00731A6E">
        <w:rPr>
          <w:i/>
          <w:iCs/>
          <w:highlight w:val="yellow"/>
        </w:rPr>
        <w:t>Nota.</w:t>
      </w:r>
      <w:r w:rsidRPr="00731A6E">
        <w:rPr>
          <w:highlight w:val="yellow"/>
        </w:rPr>
        <w:t xml:space="preserve"> Los valores corresponden a frecuencias absolutas.</w:t>
      </w:r>
    </w:p>
    <w:p w14:paraId="3EC62E12" w14:textId="77777777" w:rsidR="001A4A8D" w:rsidRDefault="001A4A8D"/>
    <w:p w14:paraId="53E23C3C" w14:textId="77777777" w:rsidR="001A4A8D" w:rsidRDefault="007141C1">
      <w:pPr>
        <w:spacing w:before="180" w:after="80"/>
      </w:pPr>
      <w:r>
        <w:rPr>
          <w:b/>
          <w:bCs/>
        </w:rPr>
        <w:t>Instrumentos</w:t>
      </w:r>
    </w:p>
    <w:p w14:paraId="292D9F84" w14:textId="77777777" w:rsidR="001A4A8D" w:rsidRDefault="007141C1">
      <w:pPr>
        <w:spacing w:before="140" w:after="60"/>
      </w:pPr>
      <w:r>
        <w:rPr>
          <w:b/>
          <w:bCs/>
          <w:i/>
          <w:iCs/>
        </w:rPr>
        <w:t>Cuestionario sociodemográfico</w:t>
      </w:r>
    </w:p>
    <w:p w14:paraId="564D5D00" w14:textId="04008F4C" w:rsidR="001A4A8D" w:rsidRDefault="007141C1">
      <w:pPr>
        <w:ind w:firstLine="720"/>
        <w:jc w:val="both"/>
      </w:pPr>
      <w:r>
        <w:t xml:space="preserve">Se administró un breve cuestionario destinado a recabar información sociodemográfica básica. Para los fines del presente estudio se tomaron como variables relevantes la </w:t>
      </w:r>
      <w:r>
        <w:rPr>
          <w:b/>
          <w:bCs/>
        </w:rPr>
        <w:t>edad</w:t>
      </w:r>
      <w:r>
        <w:t xml:space="preserve"> y la </w:t>
      </w:r>
      <w:r>
        <w:rPr>
          <w:b/>
          <w:bCs/>
        </w:rPr>
        <w:t>cantidad de horas diarias dedicadas al uso de redes sociales</w:t>
      </w:r>
      <w:r>
        <w:t xml:space="preserve">, reportada mediante autoinforme. La variable Generación se derivó posteriormente a partir de la edad declarada, asignando cada participante a su cohorte correspondiente según los rangos etarios convencionales (Generación Z: 1996–2010; </w:t>
      </w:r>
      <w:proofErr w:type="spellStart"/>
      <w:r>
        <w:t>Millennials</w:t>
      </w:r>
      <w:proofErr w:type="spellEnd"/>
      <w:r>
        <w:t>: 1981–1995; Generación X: 1965–1980).</w:t>
      </w:r>
    </w:p>
    <w:p w14:paraId="70F59EDD" w14:textId="77777777" w:rsidR="001A4A8D" w:rsidRDefault="007141C1">
      <w:pPr>
        <w:spacing w:before="140" w:after="60"/>
      </w:pPr>
      <w:r>
        <w:rPr>
          <w:b/>
          <w:bCs/>
          <w:i/>
          <w:iCs/>
        </w:rPr>
        <w:t xml:space="preserve">Subescala social del </w:t>
      </w:r>
      <w:proofErr w:type="spellStart"/>
      <w:r>
        <w:rPr>
          <w:b/>
          <w:bCs/>
          <w:i/>
          <w:iCs/>
        </w:rPr>
        <w:t>Anxiety</w:t>
      </w:r>
      <w:proofErr w:type="spellEnd"/>
      <w:r>
        <w:rPr>
          <w:b/>
          <w:bCs/>
          <w:i/>
          <w:iCs/>
        </w:rPr>
        <w:t xml:space="preserve"> </w:t>
      </w:r>
      <w:proofErr w:type="spellStart"/>
      <w:r>
        <w:rPr>
          <w:b/>
          <w:bCs/>
          <w:i/>
          <w:iCs/>
        </w:rPr>
        <w:t>Sensitivity</w:t>
      </w:r>
      <w:proofErr w:type="spellEnd"/>
      <w:r>
        <w:rPr>
          <w:b/>
          <w:bCs/>
          <w:i/>
          <w:iCs/>
        </w:rPr>
        <w:t xml:space="preserve"> Index-3 (ASI-3)</w:t>
      </w:r>
    </w:p>
    <w:p w14:paraId="19DC8AA2" w14:textId="77777777" w:rsidR="001A4A8D" w:rsidRDefault="007141C1">
      <w:pPr>
        <w:ind w:firstLine="720"/>
        <w:jc w:val="both"/>
      </w:pPr>
      <w:r>
        <w:t xml:space="preserve">Para evaluar la preocupación social ansiosa se utilizó la subescala social del </w:t>
      </w:r>
      <w:proofErr w:type="spellStart"/>
      <w:r>
        <w:rPr>
          <w:i/>
          <w:iCs/>
        </w:rPr>
        <w:t>Anxiety</w:t>
      </w:r>
      <w:proofErr w:type="spellEnd"/>
      <w:r>
        <w:rPr>
          <w:i/>
          <w:iCs/>
        </w:rPr>
        <w:t xml:space="preserve"> </w:t>
      </w:r>
      <w:proofErr w:type="spellStart"/>
      <w:r>
        <w:rPr>
          <w:i/>
          <w:iCs/>
        </w:rPr>
        <w:t>Sensitivity</w:t>
      </w:r>
      <w:proofErr w:type="spellEnd"/>
      <w:r>
        <w:rPr>
          <w:i/>
          <w:iCs/>
        </w:rPr>
        <w:t xml:space="preserve"> Index-3</w:t>
      </w:r>
      <w:r>
        <w:t xml:space="preserve"> (ASI-3; Taylor et al., 2007), en su versión española validada por Sandín et al. (2007). El ASI-3 es un instrumento multidimensional de 18 ítems que evalúa la sensibilidad a la ansiedad —definida como el miedo a los síntomas de la propia ansiedad por la creencia de que tendrán consecuencias dañinas— a través de tres dimensiones de seis ítems cada una: física, cognitiva y social. La presente investigación empleó exclusivamente los seis ítems de la subescala social, los cuales evalúan el temor a que los signos visibles de ansiedad sean percibidos y juzgados negativamente por otras personas (por ejemplo: “Me preocupa que otras personas noten mi ansiedad”). Cada ítem se responde mediante una escala Likert de cinco puntos (0 = </w:t>
      </w:r>
      <w:r>
        <w:rPr>
          <w:i/>
          <w:iCs/>
        </w:rPr>
        <w:t>muy poco</w:t>
      </w:r>
      <w:r>
        <w:t xml:space="preserve">; 4 = </w:t>
      </w:r>
      <w:r>
        <w:rPr>
          <w:i/>
          <w:iCs/>
        </w:rPr>
        <w:t>muchísimo</w:t>
      </w:r>
      <w:r>
        <w:t>), arrojando un puntaje total que oscila entre 0 y 24, donde valores más elevados indican mayor preocupación social ansiosa. La subescala social ha mostrado en estudios previos una consistencia interna adecuada (α = .84; Sandín et al., 2007).</w:t>
      </w:r>
    </w:p>
    <w:p w14:paraId="3CBF368D" w14:textId="77777777" w:rsidR="001A4A8D" w:rsidRDefault="007141C1">
      <w:pPr>
        <w:spacing w:before="180" w:after="80"/>
      </w:pPr>
      <w:r>
        <w:rPr>
          <w:b/>
          <w:bCs/>
        </w:rPr>
        <w:t>Plan de análisis estadístico</w:t>
      </w:r>
    </w:p>
    <w:p w14:paraId="0E9CA6ED" w14:textId="77777777" w:rsidR="001A4A8D" w:rsidRDefault="007141C1">
      <w:pPr>
        <w:ind w:firstLine="720"/>
        <w:jc w:val="both"/>
      </w:pPr>
      <w:r>
        <w:t xml:space="preserve">Los análisis se realizaron en el software </w:t>
      </w:r>
      <w:proofErr w:type="spellStart"/>
      <w:r>
        <w:rPr>
          <w:i/>
          <w:iCs/>
        </w:rPr>
        <w:t>jamovi</w:t>
      </w:r>
      <w:proofErr w:type="spellEnd"/>
      <w:r>
        <w:t xml:space="preserve"> (versión 2.7.30; </w:t>
      </w:r>
      <w:proofErr w:type="spellStart"/>
      <w:r>
        <w:t>The</w:t>
      </w:r>
      <w:proofErr w:type="spellEnd"/>
      <w:r>
        <w:t xml:space="preserve"> </w:t>
      </w:r>
      <w:proofErr w:type="spellStart"/>
      <w:r>
        <w:t>jamovi</w:t>
      </w:r>
      <w:proofErr w:type="spellEnd"/>
      <w:r>
        <w:t xml:space="preserve"> </w:t>
      </w:r>
      <w:proofErr w:type="spellStart"/>
      <w:r>
        <w:t>project</w:t>
      </w:r>
      <w:proofErr w:type="spellEnd"/>
      <w:r>
        <w:t>, 2024), adoptando un nivel de significación de α = .05 para todas las pruebas inferenciales.</w:t>
      </w:r>
    </w:p>
    <w:p w14:paraId="2ABC9490" w14:textId="77777777" w:rsidR="001A4A8D" w:rsidRDefault="007141C1">
      <w:pPr>
        <w:spacing w:before="140" w:after="60"/>
      </w:pPr>
      <w:r>
        <w:rPr>
          <w:b/>
          <w:bCs/>
          <w:i/>
          <w:iCs/>
        </w:rPr>
        <w:t>Análisis descriptivos</w:t>
      </w:r>
    </w:p>
    <w:p w14:paraId="1F9C1036" w14:textId="77777777" w:rsidR="001A4A8D" w:rsidRDefault="007141C1">
      <w:pPr>
        <w:ind w:firstLine="720"/>
        <w:jc w:val="both"/>
      </w:pPr>
      <w:r>
        <w:lastRenderedPageBreak/>
        <w:t>En una primera fase se calcularon estadísticos descriptivos (media, desviación típica, valores mínimos y máximos, índices de asimetría y curtosis) para todas las variables del estudio, tanto a nivel global como por celda del diseño factorial.</w:t>
      </w:r>
    </w:p>
    <w:p w14:paraId="4126AE6D" w14:textId="77777777" w:rsidR="001A4A8D" w:rsidRDefault="007141C1">
      <w:pPr>
        <w:spacing w:before="140" w:after="60"/>
      </w:pPr>
      <w:r>
        <w:rPr>
          <w:b/>
          <w:bCs/>
          <w:i/>
          <w:iCs/>
        </w:rPr>
        <w:t>Análisis principal</w:t>
      </w:r>
    </w:p>
    <w:p w14:paraId="03FE5807" w14:textId="77777777" w:rsidR="001A4A8D" w:rsidRDefault="007141C1">
      <w:pPr>
        <w:ind w:firstLine="720"/>
        <w:jc w:val="both"/>
      </w:pPr>
      <w:r>
        <w:t xml:space="preserve">Para examinar las tres hipótesis del estudio se aplicó un </w:t>
      </w:r>
      <w:r>
        <w:rPr>
          <w:b/>
          <w:bCs/>
        </w:rPr>
        <w:t xml:space="preserve">análisis de varianza factorial 3 × 2 </w:t>
      </w:r>
      <w:proofErr w:type="spellStart"/>
      <w:r>
        <w:rPr>
          <w:b/>
          <w:bCs/>
        </w:rPr>
        <w:t>entre-sujetos</w:t>
      </w:r>
      <w:proofErr w:type="spellEnd"/>
      <w:r>
        <w:t xml:space="preserve"> (Botella et al., 2012), donde la variable dependiente fue la puntuación en la subescala social del ASI-3 y los factores fueron: (a) la </w:t>
      </w:r>
      <w:r>
        <w:rPr>
          <w:i/>
          <w:iCs/>
        </w:rPr>
        <w:t>generación</w:t>
      </w:r>
      <w:r>
        <w:t xml:space="preserve"> (tres niveles: Generación Z, </w:t>
      </w:r>
      <w:proofErr w:type="spellStart"/>
      <w:r>
        <w:t>Millennials</w:t>
      </w:r>
      <w:proofErr w:type="spellEnd"/>
      <w:r>
        <w:t xml:space="preserve">, Generación X) y (b) el </w:t>
      </w:r>
      <w:r>
        <w:rPr>
          <w:i/>
          <w:iCs/>
        </w:rPr>
        <w:t>uso de redes sociales</w:t>
      </w:r>
      <w:r>
        <w:t xml:space="preserve"> dicotomizado (dos niveles: bajo, ≤2 h/día; alto, &gt;2 h/día). Esta prueba permite evaluar simultáneamente dos efectos principales (uno por factor) y </w:t>
      </w:r>
      <w:r w:rsidRPr="00731A6E">
        <w:rPr>
          <w:highlight w:val="yellow"/>
        </w:rPr>
        <w:t>un efecto de interacción (Generación × Uso),</w:t>
      </w:r>
      <w:r>
        <w:t xml:space="preserve"> lo que resulta coherente con la estructura de las hipótesis H1, H2 y H3.</w:t>
      </w:r>
    </w:p>
    <w:p w14:paraId="4F83C282" w14:textId="77777777" w:rsidR="001A4A8D" w:rsidRDefault="007141C1">
      <w:pPr>
        <w:spacing w:before="140" w:after="60"/>
      </w:pPr>
      <w:r>
        <w:rPr>
          <w:b/>
          <w:bCs/>
          <w:i/>
          <w:iCs/>
        </w:rPr>
        <w:t>Supuestos</w:t>
      </w:r>
    </w:p>
    <w:p w14:paraId="0CC9D763" w14:textId="77777777" w:rsidR="001A4A8D" w:rsidRDefault="007141C1">
      <w:pPr>
        <w:ind w:firstLine="720"/>
        <w:jc w:val="both"/>
      </w:pPr>
      <w:r w:rsidRPr="00731A6E">
        <w:rPr>
          <w:highlight w:val="yellow"/>
        </w:rPr>
        <w:t>Previo a la ejecución del ANOVA factorial</w:t>
      </w:r>
      <w:r>
        <w:t xml:space="preserve">, se evaluaron los siguientes supuestos: (a) </w:t>
      </w:r>
      <w:r w:rsidRPr="00731A6E">
        <w:rPr>
          <w:highlight w:val="yellow"/>
        </w:rPr>
        <w:t>normalidad</w:t>
      </w:r>
      <w:r>
        <w:t xml:space="preserve"> de la variable dependiente en cada celda del diseño, mediante la prueba de Shapiro-Wilk y la inspección de los índices de asimetría y curtosis (criterio de aceptación: |</w:t>
      </w:r>
      <w:r>
        <w:rPr>
          <w:i/>
          <w:iCs/>
        </w:rPr>
        <w:t>As</w:t>
      </w:r>
      <w:r>
        <w:t>| &lt; 2 y |</w:t>
      </w:r>
      <w:r>
        <w:rPr>
          <w:i/>
          <w:iCs/>
        </w:rPr>
        <w:t>Cr</w:t>
      </w:r>
      <w:r>
        <w:t xml:space="preserve">| &lt; 7; Kline, 2016); (b) </w:t>
      </w:r>
      <w:r w:rsidRPr="00731A6E">
        <w:rPr>
          <w:highlight w:val="yellow"/>
        </w:rPr>
        <w:t>homogeneidad</w:t>
      </w:r>
      <w:r>
        <w:t xml:space="preserve"> de varianzas entre celdas, mediante la prueba de Levene; y (c) </w:t>
      </w:r>
      <w:r w:rsidRPr="00731A6E">
        <w:rPr>
          <w:highlight w:val="yellow"/>
        </w:rPr>
        <w:t>independencia de las observaciones</w:t>
      </w:r>
      <w:r>
        <w:t xml:space="preserve">, garantizada por el diseño </w:t>
      </w:r>
      <w:proofErr w:type="spellStart"/>
      <w:r>
        <w:t>entre-sujetos</w:t>
      </w:r>
      <w:proofErr w:type="spellEnd"/>
      <w:r>
        <w:t>.</w:t>
      </w:r>
    </w:p>
    <w:p w14:paraId="3658A27E" w14:textId="77777777" w:rsidR="001A4A8D" w:rsidRDefault="007141C1">
      <w:pPr>
        <w:ind w:firstLine="720"/>
        <w:jc w:val="both"/>
      </w:pPr>
      <w:r w:rsidRPr="000F3554">
        <w:rPr>
          <w:highlight w:val="yellow"/>
        </w:rPr>
        <w:t>En caso de violación del supuesto de normalidad</w:t>
      </w:r>
      <w:r>
        <w:t xml:space="preserve">, se invocará el </w:t>
      </w:r>
      <w:r w:rsidRPr="00731A6E">
        <w:rPr>
          <w:b/>
          <w:bCs/>
          <w:highlight w:val="yellow"/>
        </w:rPr>
        <w:t>Teorema Central del Límite</w:t>
      </w:r>
      <w:r w:rsidRPr="00731A6E">
        <w:rPr>
          <w:highlight w:val="yellow"/>
        </w:rPr>
        <w:t xml:space="preserve"> para sostener la robustez del ANOVA paramétrico</w:t>
      </w:r>
      <w:r>
        <w:t>, dado que el tamaño muestral total (</w:t>
      </w:r>
      <w:r>
        <w:rPr>
          <w:i/>
          <w:iCs/>
        </w:rPr>
        <w:t>N</w:t>
      </w:r>
      <w:r>
        <w:t xml:space="preserve"> = 86) supera ampliamente el umbral convencional de 30 sujetos por grupo agregado (Botella et al., 2012). En caso de violación del supuesto de homocedasticidad, se aplicará la </w:t>
      </w:r>
      <w:r w:rsidRPr="000F3554">
        <w:rPr>
          <w:highlight w:val="yellow"/>
        </w:rPr>
        <w:t>corrección de Welch</w:t>
      </w:r>
      <w:r>
        <w:t xml:space="preserve"> como alternativa robusta. Las pruebas </w:t>
      </w:r>
      <w:r w:rsidRPr="000F3554">
        <w:rPr>
          <w:i/>
          <w:iCs/>
          <w:highlight w:val="yellow"/>
        </w:rPr>
        <w:t>post hoc</w:t>
      </w:r>
      <w:r>
        <w:t xml:space="preserve"> se realizarán mediante </w:t>
      </w:r>
      <w:proofErr w:type="gramStart"/>
      <w:r>
        <w:t xml:space="preserve">el </w:t>
      </w:r>
      <w:r w:rsidRPr="000F3554">
        <w:rPr>
          <w:highlight w:val="yellow"/>
        </w:rPr>
        <w:t>test</w:t>
      </w:r>
      <w:proofErr w:type="gramEnd"/>
      <w:r w:rsidRPr="000F3554">
        <w:rPr>
          <w:highlight w:val="yellow"/>
        </w:rPr>
        <w:t xml:space="preserve"> de Tukey HSD</w:t>
      </w:r>
      <w:r>
        <w:t xml:space="preserve"> para comparaciones múltiples balanceadas o, </w:t>
      </w:r>
      <w:r w:rsidRPr="000F3554">
        <w:rPr>
          <w:highlight w:val="yellow"/>
        </w:rPr>
        <w:t xml:space="preserve">en caso de heterocedasticidad, mediante </w:t>
      </w:r>
      <w:proofErr w:type="spellStart"/>
      <w:r w:rsidRPr="000F3554">
        <w:rPr>
          <w:highlight w:val="yellow"/>
        </w:rPr>
        <w:t>Games</w:t>
      </w:r>
      <w:proofErr w:type="spellEnd"/>
      <w:r w:rsidRPr="000F3554">
        <w:rPr>
          <w:highlight w:val="yellow"/>
        </w:rPr>
        <w:t>-Howell</w:t>
      </w:r>
      <w:r>
        <w:t>.</w:t>
      </w:r>
    </w:p>
    <w:p w14:paraId="015E9817" w14:textId="77777777" w:rsidR="001A4A8D" w:rsidRDefault="007141C1">
      <w:pPr>
        <w:spacing w:before="140" w:after="60"/>
      </w:pPr>
      <w:r>
        <w:rPr>
          <w:b/>
          <w:bCs/>
          <w:i/>
          <w:iCs/>
        </w:rPr>
        <w:t>Tamaño del efecto</w:t>
      </w:r>
    </w:p>
    <w:p w14:paraId="24FD5571" w14:textId="77777777" w:rsidR="001A4A8D" w:rsidRDefault="007141C1">
      <w:pPr>
        <w:ind w:firstLine="720"/>
        <w:jc w:val="both"/>
      </w:pPr>
      <w:r>
        <w:t xml:space="preserve">Adicionalmente al </w:t>
      </w:r>
      <w:r>
        <w:rPr>
          <w:i/>
          <w:iCs/>
        </w:rPr>
        <w:t>p</w:t>
      </w:r>
      <w:r>
        <w:t xml:space="preserve">-valor, se reportará </w:t>
      </w:r>
      <w:proofErr w:type="gramStart"/>
      <w:r>
        <w:t xml:space="preserve">el </w:t>
      </w:r>
      <w:r w:rsidRPr="000F3554">
        <w:rPr>
          <w:b/>
          <w:bCs/>
          <w:highlight w:val="yellow"/>
        </w:rPr>
        <w:t>eta</w:t>
      </w:r>
      <w:proofErr w:type="gramEnd"/>
      <w:r w:rsidRPr="000F3554">
        <w:rPr>
          <w:b/>
          <w:bCs/>
          <w:highlight w:val="yellow"/>
        </w:rPr>
        <w:t xml:space="preserve"> cuadrado parcial (η²ₚ)</w:t>
      </w:r>
      <w:r>
        <w:t xml:space="preserve"> como medida del tamaño del efecto para cada factor y para la interacción, siguiendo los umbrales propuestos por Cohen (1992): pequeño (η²ₚ ≥ 0.01), mediano (η²ₚ ≥ 0.06) y grande (η²ₚ ≥ 0.14). Esta decisión responde al criterio metodológico de no limitar la interpretación a la significación estadística, sino de ponderar también la magnitud o relevancia práctica de los hallazgos (Botella et al., 2012; Cohen, 1992).</w:t>
      </w:r>
    </w:p>
    <w:p w14:paraId="25C3948A" w14:textId="77777777" w:rsidR="001A4A8D" w:rsidRDefault="007141C1">
      <w:pPr>
        <w:spacing w:before="140" w:after="60"/>
      </w:pPr>
      <w:r>
        <w:rPr>
          <w:b/>
          <w:bCs/>
          <w:i/>
          <w:iCs/>
        </w:rPr>
        <w:t>Coherencia con las hipótesis</w:t>
      </w:r>
    </w:p>
    <w:p w14:paraId="5B2631DC" w14:textId="77777777" w:rsidR="001A4A8D" w:rsidRDefault="007141C1">
      <w:pPr>
        <w:ind w:firstLine="720"/>
        <w:jc w:val="both"/>
      </w:pPr>
      <w:r>
        <w:t>La elección del ANOVA factorial 3 × 2 resulta coherente con la estructura del planteo teórico: H1 (efecto principal del uso) y H2 (efecto principal de la generación) se contrastan a través de los efectos principales del modelo; H3 (efecto moderador) se contrasta directamente a través del término de interacción Generación × Uso. Si dicho término resulta significativo, se procederá al análisis de efectos simples (contrastes condicionales) para identificar en qué cohortes generacionales el uso de RRSS produce diferencias significativas sobre la preocupación social ansiosa.</w:t>
      </w:r>
    </w:p>
    <w:p w14:paraId="63539E32" w14:textId="77777777" w:rsidR="001A4A8D" w:rsidRDefault="007141C1">
      <w:r>
        <w:br w:type="page"/>
      </w:r>
    </w:p>
    <w:p w14:paraId="19E8E172" w14:textId="77777777" w:rsidR="001A4A8D" w:rsidRDefault="007141C1">
      <w:pPr>
        <w:spacing w:before="240" w:after="120"/>
        <w:jc w:val="center"/>
      </w:pPr>
      <w:r>
        <w:rPr>
          <w:b/>
          <w:bCs/>
        </w:rPr>
        <w:lastRenderedPageBreak/>
        <w:t>Resultados</w:t>
      </w:r>
    </w:p>
    <w:p w14:paraId="161DA0DE" w14:textId="77777777" w:rsidR="001A4A8D" w:rsidRDefault="007141C1">
      <w:pPr>
        <w:spacing w:before="180" w:after="80"/>
      </w:pPr>
      <w:r>
        <w:rPr>
          <w:b/>
          <w:bCs/>
        </w:rPr>
        <w:t>Análisis descriptivos</w:t>
      </w:r>
    </w:p>
    <w:p w14:paraId="09B11EF2" w14:textId="77777777" w:rsidR="001A4A8D" w:rsidRDefault="007141C1">
      <w:pPr>
        <w:ind w:firstLine="720"/>
        <w:jc w:val="both"/>
      </w:pPr>
      <w:r>
        <w:t xml:space="preserve">La puntuación global en la subescala social del ASI-3 mostró una media de </w:t>
      </w:r>
      <w:r w:rsidRPr="000F3554">
        <w:rPr>
          <w:i/>
          <w:iCs/>
          <w:highlight w:val="yellow"/>
        </w:rPr>
        <w:t>M</w:t>
      </w:r>
      <w:r w:rsidRPr="000F3554">
        <w:rPr>
          <w:highlight w:val="yellow"/>
        </w:rPr>
        <w:t xml:space="preserve"> = 7.49 (</w:t>
      </w:r>
      <w:r w:rsidRPr="000F3554">
        <w:rPr>
          <w:i/>
          <w:iCs/>
          <w:highlight w:val="yellow"/>
        </w:rPr>
        <w:t>DT</w:t>
      </w:r>
      <w:r w:rsidRPr="000F3554">
        <w:rPr>
          <w:highlight w:val="yellow"/>
        </w:rPr>
        <w:t xml:space="preserve"> = 4.66),</w:t>
      </w:r>
      <w:r>
        <w:t xml:space="preserve"> con valores comprendidos entre 0 y 22, dentro del rango teórico del instrumento (0–24). Los índices de asimetría </w:t>
      </w:r>
      <w:r w:rsidRPr="000F3554">
        <w:rPr>
          <w:highlight w:val="yellow"/>
        </w:rPr>
        <w:t>(</w:t>
      </w:r>
      <w:r w:rsidRPr="000F3554">
        <w:rPr>
          <w:i/>
          <w:iCs/>
          <w:highlight w:val="yellow"/>
        </w:rPr>
        <w:t>As</w:t>
      </w:r>
      <w:r w:rsidRPr="000F3554">
        <w:rPr>
          <w:highlight w:val="yellow"/>
        </w:rPr>
        <w:t xml:space="preserve"> = 0.78)</w:t>
      </w:r>
      <w:r>
        <w:t xml:space="preserve"> y curtosis </w:t>
      </w:r>
      <w:r w:rsidRPr="000F3554">
        <w:rPr>
          <w:highlight w:val="yellow"/>
        </w:rPr>
        <w:t>(</w:t>
      </w:r>
      <w:r w:rsidRPr="000F3554">
        <w:rPr>
          <w:i/>
          <w:iCs/>
          <w:highlight w:val="yellow"/>
        </w:rPr>
        <w:t>Cr</w:t>
      </w:r>
      <w:r w:rsidRPr="000F3554">
        <w:rPr>
          <w:highlight w:val="yellow"/>
        </w:rPr>
        <w:t xml:space="preserve"> = 0.60</w:t>
      </w:r>
      <w:r>
        <w:t xml:space="preserve">) se ubicaron dentro de los límites convencionales propuestos por Kline (2016) </w:t>
      </w:r>
      <w:r w:rsidRPr="000F3554">
        <w:rPr>
          <w:highlight w:val="yellow"/>
        </w:rPr>
        <w:t>(|</w:t>
      </w:r>
      <w:r w:rsidRPr="000F3554">
        <w:rPr>
          <w:i/>
          <w:iCs/>
          <w:highlight w:val="yellow"/>
        </w:rPr>
        <w:t>As</w:t>
      </w:r>
      <w:r w:rsidRPr="000F3554">
        <w:rPr>
          <w:highlight w:val="yellow"/>
        </w:rPr>
        <w:t>| &lt; 2; |</w:t>
      </w:r>
      <w:r w:rsidRPr="000F3554">
        <w:rPr>
          <w:i/>
          <w:iCs/>
          <w:highlight w:val="yellow"/>
        </w:rPr>
        <w:t>Cr</w:t>
      </w:r>
      <w:r w:rsidRPr="000F3554">
        <w:rPr>
          <w:highlight w:val="yellow"/>
        </w:rPr>
        <w:t>| &lt; 7</w:t>
      </w:r>
      <w:r>
        <w:t>), sugiriendo que la distribución de la VD se aproxima a la normalidad. Los estadísticos descriptivos por celda del diseño factorial se presentan en la Tabla 2.</w:t>
      </w:r>
    </w:p>
    <w:p w14:paraId="6AFCE987" w14:textId="77777777" w:rsidR="001A4A8D" w:rsidRDefault="001A4A8D"/>
    <w:p w14:paraId="0397C20E" w14:textId="77777777" w:rsidR="001A4A8D" w:rsidRPr="000F3554" w:rsidRDefault="007141C1">
      <w:pPr>
        <w:rPr>
          <w:highlight w:val="yellow"/>
        </w:rPr>
      </w:pPr>
      <w:r w:rsidRPr="000F3554">
        <w:rPr>
          <w:b/>
          <w:bCs/>
          <w:highlight w:val="yellow"/>
        </w:rPr>
        <w:t>Tabla 2</w:t>
      </w:r>
    </w:p>
    <w:p w14:paraId="6FFC36AD" w14:textId="77777777" w:rsidR="001A4A8D" w:rsidRPr="000F3554" w:rsidRDefault="007141C1">
      <w:pPr>
        <w:spacing w:after="80"/>
        <w:rPr>
          <w:highlight w:val="yellow"/>
        </w:rPr>
      </w:pPr>
      <w:r w:rsidRPr="000F3554">
        <w:rPr>
          <w:i/>
          <w:iCs/>
          <w:highlight w:val="yellow"/>
        </w:rPr>
        <w:t>Estadísticos descriptivos del ASI Preocupación Social por celda del diseño factorial 3 × 2</w:t>
      </w:r>
    </w:p>
    <w:tbl>
      <w:tblPr>
        <w:tblW w:w="7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50"/>
        <w:gridCol w:w="1750"/>
        <w:gridCol w:w="700"/>
        <w:gridCol w:w="800"/>
        <w:gridCol w:w="800"/>
        <w:gridCol w:w="800"/>
        <w:gridCol w:w="800"/>
      </w:tblGrid>
      <w:tr w:rsidR="001A4A8D" w:rsidRPr="000F3554" w14:paraId="7887D827" w14:textId="77777777">
        <w:tc>
          <w:tcPr>
            <w:tcW w:w="1750" w:type="dxa"/>
            <w:tcBorders>
              <w:top w:val="single" w:sz="4" w:space="0" w:color="000000"/>
              <w:left w:val="none" w:sz="0" w:space="0" w:color="FFFFFF"/>
              <w:bottom w:val="single" w:sz="4" w:space="0" w:color="000000"/>
              <w:right w:val="none" w:sz="0" w:space="0" w:color="FFFFFF"/>
            </w:tcBorders>
            <w:tcMar>
              <w:top w:w="60" w:type="dxa"/>
              <w:left w:w="80" w:type="dxa"/>
              <w:bottom w:w="60" w:type="dxa"/>
              <w:right w:w="80" w:type="dxa"/>
            </w:tcMar>
            <w:vAlign w:val="center"/>
          </w:tcPr>
          <w:p w14:paraId="39CA6F67" w14:textId="77777777" w:rsidR="001A4A8D" w:rsidRPr="000F3554" w:rsidRDefault="007141C1">
            <w:pPr>
              <w:jc w:val="center"/>
              <w:rPr>
                <w:highlight w:val="yellow"/>
              </w:rPr>
            </w:pPr>
            <w:r w:rsidRPr="000F3554">
              <w:rPr>
                <w:b/>
                <w:bCs/>
                <w:highlight w:val="yellow"/>
              </w:rPr>
              <w:t>Generación</w:t>
            </w:r>
          </w:p>
        </w:tc>
        <w:tc>
          <w:tcPr>
            <w:tcW w:w="1750" w:type="dxa"/>
            <w:tcBorders>
              <w:top w:val="single" w:sz="4" w:space="0" w:color="000000"/>
              <w:left w:val="none" w:sz="0" w:space="0" w:color="FFFFFF"/>
              <w:bottom w:val="single" w:sz="4" w:space="0" w:color="000000"/>
              <w:right w:val="none" w:sz="0" w:space="0" w:color="FFFFFF"/>
            </w:tcBorders>
            <w:tcMar>
              <w:top w:w="60" w:type="dxa"/>
              <w:left w:w="80" w:type="dxa"/>
              <w:bottom w:w="60" w:type="dxa"/>
              <w:right w:w="80" w:type="dxa"/>
            </w:tcMar>
            <w:vAlign w:val="center"/>
          </w:tcPr>
          <w:p w14:paraId="26209344" w14:textId="77777777" w:rsidR="001A4A8D" w:rsidRPr="000F3554" w:rsidRDefault="007141C1">
            <w:pPr>
              <w:jc w:val="center"/>
              <w:rPr>
                <w:highlight w:val="yellow"/>
              </w:rPr>
            </w:pPr>
            <w:r w:rsidRPr="000F3554">
              <w:rPr>
                <w:b/>
                <w:bCs/>
                <w:highlight w:val="yellow"/>
              </w:rPr>
              <w:t>Uso RRSS</w:t>
            </w:r>
          </w:p>
        </w:tc>
        <w:tc>
          <w:tcPr>
            <w:tcW w:w="700" w:type="dxa"/>
            <w:tcBorders>
              <w:top w:val="single" w:sz="4" w:space="0" w:color="000000"/>
              <w:left w:val="none" w:sz="0" w:space="0" w:color="FFFFFF"/>
              <w:bottom w:val="single" w:sz="4" w:space="0" w:color="000000"/>
              <w:right w:val="none" w:sz="0" w:space="0" w:color="FFFFFF"/>
            </w:tcBorders>
            <w:tcMar>
              <w:top w:w="60" w:type="dxa"/>
              <w:left w:w="80" w:type="dxa"/>
              <w:bottom w:w="60" w:type="dxa"/>
              <w:right w:w="80" w:type="dxa"/>
            </w:tcMar>
            <w:vAlign w:val="center"/>
          </w:tcPr>
          <w:p w14:paraId="4ABE712B" w14:textId="77777777" w:rsidR="001A4A8D" w:rsidRPr="000F3554" w:rsidRDefault="007141C1">
            <w:pPr>
              <w:jc w:val="center"/>
              <w:rPr>
                <w:highlight w:val="yellow"/>
              </w:rPr>
            </w:pPr>
            <w:r w:rsidRPr="000F3554">
              <w:rPr>
                <w:b/>
                <w:bCs/>
                <w:i/>
                <w:iCs/>
                <w:highlight w:val="yellow"/>
              </w:rPr>
              <w:t>n</w:t>
            </w:r>
          </w:p>
        </w:tc>
        <w:tc>
          <w:tcPr>
            <w:tcW w:w="800" w:type="dxa"/>
            <w:tcBorders>
              <w:top w:val="single" w:sz="4" w:space="0" w:color="000000"/>
              <w:left w:val="none" w:sz="0" w:space="0" w:color="FFFFFF"/>
              <w:bottom w:val="single" w:sz="4" w:space="0" w:color="000000"/>
              <w:right w:val="none" w:sz="0" w:space="0" w:color="FFFFFF"/>
            </w:tcBorders>
            <w:tcMar>
              <w:top w:w="60" w:type="dxa"/>
              <w:left w:w="80" w:type="dxa"/>
              <w:bottom w:w="60" w:type="dxa"/>
              <w:right w:w="80" w:type="dxa"/>
            </w:tcMar>
            <w:vAlign w:val="center"/>
          </w:tcPr>
          <w:p w14:paraId="070853D2" w14:textId="77777777" w:rsidR="001A4A8D" w:rsidRPr="000F3554" w:rsidRDefault="007141C1">
            <w:pPr>
              <w:jc w:val="center"/>
              <w:rPr>
                <w:highlight w:val="yellow"/>
              </w:rPr>
            </w:pPr>
            <w:r w:rsidRPr="000F3554">
              <w:rPr>
                <w:b/>
                <w:bCs/>
                <w:i/>
                <w:iCs/>
                <w:highlight w:val="yellow"/>
              </w:rPr>
              <w:t>M</w:t>
            </w:r>
          </w:p>
        </w:tc>
        <w:tc>
          <w:tcPr>
            <w:tcW w:w="800" w:type="dxa"/>
            <w:tcBorders>
              <w:top w:val="single" w:sz="4" w:space="0" w:color="000000"/>
              <w:left w:val="none" w:sz="0" w:space="0" w:color="FFFFFF"/>
              <w:bottom w:val="single" w:sz="4" w:space="0" w:color="000000"/>
              <w:right w:val="none" w:sz="0" w:space="0" w:color="FFFFFF"/>
            </w:tcBorders>
            <w:tcMar>
              <w:top w:w="60" w:type="dxa"/>
              <w:left w:w="80" w:type="dxa"/>
              <w:bottom w:w="60" w:type="dxa"/>
              <w:right w:w="80" w:type="dxa"/>
            </w:tcMar>
            <w:vAlign w:val="center"/>
          </w:tcPr>
          <w:p w14:paraId="6584408E" w14:textId="77777777" w:rsidR="001A4A8D" w:rsidRPr="000F3554" w:rsidRDefault="007141C1">
            <w:pPr>
              <w:jc w:val="center"/>
              <w:rPr>
                <w:highlight w:val="yellow"/>
              </w:rPr>
            </w:pPr>
            <w:r w:rsidRPr="000F3554">
              <w:rPr>
                <w:b/>
                <w:bCs/>
                <w:i/>
                <w:iCs/>
                <w:highlight w:val="yellow"/>
              </w:rPr>
              <w:t>DT</w:t>
            </w:r>
          </w:p>
        </w:tc>
        <w:tc>
          <w:tcPr>
            <w:tcW w:w="800" w:type="dxa"/>
            <w:tcBorders>
              <w:top w:val="single" w:sz="4" w:space="0" w:color="000000"/>
              <w:left w:val="none" w:sz="0" w:space="0" w:color="FFFFFF"/>
              <w:bottom w:val="single" w:sz="4" w:space="0" w:color="000000"/>
              <w:right w:val="none" w:sz="0" w:space="0" w:color="FFFFFF"/>
            </w:tcBorders>
            <w:tcMar>
              <w:top w:w="60" w:type="dxa"/>
              <w:left w:w="80" w:type="dxa"/>
              <w:bottom w:w="60" w:type="dxa"/>
              <w:right w:w="80" w:type="dxa"/>
            </w:tcMar>
            <w:vAlign w:val="center"/>
          </w:tcPr>
          <w:p w14:paraId="1DAD7A4E" w14:textId="77777777" w:rsidR="001A4A8D" w:rsidRPr="000F3554" w:rsidRDefault="007141C1">
            <w:pPr>
              <w:jc w:val="center"/>
              <w:rPr>
                <w:highlight w:val="yellow"/>
              </w:rPr>
            </w:pPr>
            <w:r w:rsidRPr="000F3554">
              <w:rPr>
                <w:b/>
                <w:bCs/>
                <w:i/>
                <w:iCs/>
                <w:highlight w:val="yellow"/>
              </w:rPr>
              <w:t>As</w:t>
            </w:r>
          </w:p>
        </w:tc>
        <w:tc>
          <w:tcPr>
            <w:tcW w:w="800" w:type="dxa"/>
            <w:tcBorders>
              <w:top w:val="single" w:sz="4" w:space="0" w:color="000000"/>
              <w:left w:val="none" w:sz="0" w:space="0" w:color="FFFFFF"/>
              <w:bottom w:val="single" w:sz="4" w:space="0" w:color="000000"/>
              <w:right w:val="none" w:sz="0" w:space="0" w:color="FFFFFF"/>
            </w:tcBorders>
            <w:tcMar>
              <w:top w:w="60" w:type="dxa"/>
              <w:left w:w="80" w:type="dxa"/>
              <w:bottom w:w="60" w:type="dxa"/>
              <w:right w:w="80" w:type="dxa"/>
            </w:tcMar>
            <w:vAlign w:val="center"/>
          </w:tcPr>
          <w:p w14:paraId="2339B956" w14:textId="77777777" w:rsidR="001A4A8D" w:rsidRPr="000F3554" w:rsidRDefault="007141C1">
            <w:pPr>
              <w:jc w:val="center"/>
              <w:rPr>
                <w:highlight w:val="yellow"/>
              </w:rPr>
            </w:pPr>
            <w:r w:rsidRPr="000F3554">
              <w:rPr>
                <w:b/>
                <w:bCs/>
                <w:i/>
                <w:iCs/>
                <w:highlight w:val="yellow"/>
              </w:rPr>
              <w:t>Cr</w:t>
            </w:r>
          </w:p>
        </w:tc>
      </w:tr>
      <w:tr w:rsidR="001A4A8D" w:rsidRPr="000F3554" w14:paraId="39D675C9" w14:textId="77777777">
        <w:tc>
          <w:tcPr>
            <w:tcW w:w="175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0E7C4E0D" w14:textId="77777777" w:rsidR="001A4A8D" w:rsidRPr="000F3554" w:rsidRDefault="007141C1">
            <w:pPr>
              <w:rPr>
                <w:highlight w:val="yellow"/>
              </w:rPr>
            </w:pPr>
            <w:r w:rsidRPr="000F3554">
              <w:rPr>
                <w:highlight w:val="yellow"/>
              </w:rPr>
              <w:t>Generación Z</w:t>
            </w:r>
          </w:p>
        </w:tc>
        <w:tc>
          <w:tcPr>
            <w:tcW w:w="175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51CB0231" w14:textId="77777777" w:rsidR="001A4A8D" w:rsidRPr="000F3554" w:rsidRDefault="007141C1">
            <w:pPr>
              <w:rPr>
                <w:highlight w:val="yellow"/>
              </w:rPr>
            </w:pPr>
            <w:r w:rsidRPr="000F3554">
              <w:rPr>
                <w:highlight w:val="yellow"/>
              </w:rPr>
              <w:t>Bajo (≤2 h)</w:t>
            </w:r>
          </w:p>
        </w:tc>
        <w:tc>
          <w:tcPr>
            <w:tcW w:w="7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741FF7DA" w14:textId="77777777" w:rsidR="001A4A8D" w:rsidRPr="000F3554" w:rsidRDefault="007141C1">
            <w:pPr>
              <w:jc w:val="center"/>
              <w:rPr>
                <w:highlight w:val="yellow"/>
              </w:rPr>
            </w:pPr>
            <w:r w:rsidRPr="000F3554">
              <w:rPr>
                <w:highlight w:val="yellow"/>
              </w:rPr>
              <w:t>11</w:t>
            </w:r>
          </w:p>
        </w:tc>
        <w:tc>
          <w:tcPr>
            <w:tcW w:w="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09744F2C" w14:textId="77777777" w:rsidR="001A4A8D" w:rsidRPr="000F3554" w:rsidRDefault="007141C1">
            <w:pPr>
              <w:jc w:val="center"/>
              <w:rPr>
                <w:highlight w:val="yellow"/>
              </w:rPr>
            </w:pPr>
            <w:r w:rsidRPr="000F3554">
              <w:rPr>
                <w:highlight w:val="yellow"/>
              </w:rPr>
              <w:t>7.18</w:t>
            </w:r>
          </w:p>
        </w:tc>
        <w:tc>
          <w:tcPr>
            <w:tcW w:w="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4E0E10E4" w14:textId="77777777" w:rsidR="001A4A8D" w:rsidRPr="000F3554" w:rsidRDefault="007141C1">
            <w:pPr>
              <w:jc w:val="center"/>
              <w:rPr>
                <w:highlight w:val="yellow"/>
              </w:rPr>
            </w:pPr>
            <w:r w:rsidRPr="000F3554">
              <w:rPr>
                <w:highlight w:val="yellow"/>
              </w:rPr>
              <w:t>5.74</w:t>
            </w:r>
          </w:p>
        </w:tc>
        <w:tc>
          <w:tcPr>
            <w:tcW w:w="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0CAAE6BA" w14:textId="77777777" w:rsidR="001A4A8D" w:rsidRPr="000F3554" w:rsidRDefault="007141C1">
            <w:pPr>
              <w:jc w:val="center"/>
              <w:rPr>
                <w:highlight w:val="yellow"/>
              </w:rPr>
            </w:pPr>
            <w:r w:rsidRPr="000F3554">
              <w:rPr>
                <w:highlight w:val="yellow"/>
              </w:rPr>
              <w:t>1.19</w:t>
            </w:r>
          </w:p>
        </w:tc>
        <w:tc>
          <w:tcPr>
            <w:tcW w:w="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136236A1" w14:textId="77777777" w:rsidR="001A4A8D" w:rsidRPr="000F3554" w:rsidRDefault="007141C1">
            <w:pPr>
              <w:jc w:val="center"/>
              <w:rPr>
                <w:highlight w:val="yellow"/>
              </w:rPr>
            </w:pPr>
            <w:r w:rsidRPr="000F3554">
              <w:rPr>
                <w:highlight w:val="yellow"/>
              </w:rPr>
              <w:t>1.35</w:t>
            </w:r>
          </w:p>
        </w:tc>
      </w:tr>
      <w:tr w:rsidR="001A4A8D" w:rsidRPr="000F3554" w14:paraId="2071A075" w14:textId="77777777">
        <w:tc>
          <w:tcPr>
            <w:tcW w:w="175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73717BCE" w14:textId="77777777" w:rsidR="001A4A8D" w:rsidRPr="000F3554" w:rsidRDefault="007141C1">
            <w:pPr>
              <w:rPr>
                <w:highlight w:val="yellow"/>
              </w:rPr>
            </w:pPr>
            <w:r w:rsidRPr="000F3554">
              <w:rPr>
                <w:highlight w:val="yellow"/>
              </w:rPr>
              <w:t>Generación Z</w:t>
            </w:r>
          </w:p>
        </w:tc>
        <w:tc>
          <w:tcPr>
            <w:tcW w:w="175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63A77B3B" w14:textId="77777777" w:rsidR="001A4A8D" w:rsidRPr="000F3554" w:rsidRDefault="007141C1">
            <w:pPr>
              <w:rPr>
                <w:highlight w:val="yellow"/>
              </w:rPr>
            </w:pPr>
            <w:r w:rsidRPr="000F3554">
              <w:rPr>
                <w:highlight w:val="yellow"/>
              </w:rPr>
              <w:t>Alto (&gt;2 h)</w:t>
            </w:r>
          </w:p>
        </w:tc>
        <w:tc>
          <w:tcPr>
            <w:tcW w:w="7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2B2F67C4" w14:textId="77777777" w:rsidR="001A4A8D" w:rsidRPr="000F3554" w:rsidRDefault="007141C1">
            <w:pPr>
              <w:jc w:val="center"/>
              <w:rPr>
                <w:highlight w:val="yellow"/>
              </w:rPr>
            </w:pPr>
            <w:r w:rsidRPr="000F3554">
              <w:rPr>
                <w:highlight w:val="yellow"/>
              </w:rPr>
              <w:t>28</w:t>
            </w:r>
          </w:p>
        </w:tc>
        <w:tc>
          <w:tcPr>
            <w:tcW w:w="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54ACA22B" w14:textId="77777777" w:rsidR="001A4A8D" w:rsidRPr="000F3554" w:rsidRDefault="007141C1">
            <w:pPr>
              <w:jc w:val="center"/>
              <w:rPr>
                <w:highlight w:val="yellow"/>
              </w:rPr>
            </w:pPr>
            <w:r w:rsidRPr="000F3554">
              <w:rPr>
                <w:highlight w:val="yellow"/>
              </w:rPr>
              <w:t>8.86</w:t>
            </w:r>
          </w:p>
        </w:tc>
        <w:tc>
          <w:tcPr>
            <w:tcW w:w="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7DD62EE6" w14:textId="77777777" w:rsidR="001A4A8D" w:rsidRPr="000F3554" w:rsidRDefault="007141C1">
            <w:pPr>
              <w:jc w:val="center"/>
              <w:rPr>
                <w:highlight w:val="yellow"/>
              </w:rPr>
            </w:pPr>
            <w:r w:rsidRPr="000F3554">
              <w:rPr>
                <w:highlight w:val="yellow"/>
              </w:rPr>
              <w:t>4.27</w:t>
            </w:r>
          </w:p>
        </w:tc>
        <w:tc>
          <w:tcPr>
            <w:tcW w:w="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1CD2213F" w14:textId="77777777" w:rsidR="001A4A8D" w:rsidRPr="000F3554" w:rsidRDefault="007141C1">
            <w:pPr>
              <w:jc w:val="center"/>
              <w:rPr>
                <w:highlight w:val="yellow"/>
              </w:rPr>
            </w:pPr>
            <w:r w:rsidRPr="000F3554">
              <w:rPr>
                <w:highlight w:val="yellow"/>
              </w:rPr>
              <w:t>0.30</w:t>
            </w:r>
          </w:p>
        </w:tc>
        <w:tc>
          <w:tcPr>
            <w:tcW w:w="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445232BF" w14:textId="77777777" w:rsidR="001A4A8D" w:rsidRPr="000F3554" w:rsidRDefault="007141C1">
            <w:pPr>
              <w:jc w:val="center"/>
              <w:rPr>
                <w:highlight w:val="yellow"/>
              </w:rPr>
            </w:pPr>
            <w:r w:rsidRPr="000F3554">
              <w:rPr>
                <w:highlight w:val="yellow"/>
              </w:rPr>
              <w:t>−0.48</w:t>
            </w:r>
          </w:p>
        </w:tc>
      </w:tr>
      <w:tr w:rsidR="001A4A8D" w:rsidRPr="000F3554" w14:paraId="76F82561" w14:textId="77777777">
        <w:tc>
          <w:tcPr>
            <w:tcW w:w="175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42255E87" w14:textId="77777777" w:rsidR="001A4A8D" w:rsidRPr="000F3554" w:rsidRDefault="007141C1">
            <w:pPr>
              <w:rPr>
                <w:highlight w:val="yellow"/>
              </w:rPr>
            </w:pPr>
            <w:proofErr w:type="spellStart"/>
            <w:r w:rsidRPr="000F3554">
              <w:rPr>
                <w:highlight w:val="yellow"/>
              </w:rPr>
              <w:t>Millennials</w:t>
            </w:r>
            <w:proofErr w:type="spellEnd"/>
          </w:p>
        </w:tc>
        <w:tc>
          <w:tcPr>
            <w:tcW w:w="175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2EA83976" w14:textId="77777777" w:rsidR="001A4A8D" w:rsidRPr="000F3554" w:rsidRDefault="007141C1">
            <w:pPr>
              <w:rPr>
                <w:highlight w:val="yellow"/>
              </w:rPr>
            </w:pPr>
            <w:r w:rsidRPr="000F3554">
              <w:rPr>
                <w:highlight w:val="yellow"/>
              </w:rPr>
              <w:t>Bajo (≤2 h)</w:t>
            </w:r>
          </w:p>
        </w:tc>
        <w:tc>
          <w:tcPr>
            <w:tcW w:w="7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06B1243C" w14:textId="77777777" w:rsidR="001A4A8D" w:rsidRPr="000F3554" w:rsidRDefault="007141C1">
            <w:pPr>
              <w:jc w:val="center"/>
              <w:rPr>
                <w:highlight w:val="yellow"/>
              </w:rPr>
            </w:pPr>
            <w:r w:rsidRPr="000F3554">
              <w:rPr>
                <w:highlight w:val="yellow"/>
              </w:rPr>
              <w:t>17</w:t>
            </w:r>
          </w:p>
        </w:tc>
        <w:tc>
          <w:tcPr>
            <w:tcW w:w="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54C7C665" w14:textId="77777777" w:rsidR="001A4A8D" w:rsidRPr="000F3554" w:rsidRDefault="007141C1">
            <w:pPr>
              <w:jc w:val="center"/>
              <w:rPr>
                <w:highlight w:val="yellow"/>
              </w:rPr>
            </w:pPr>
            <w:r w:rsidRPr="000F3554">
              <w:rPr>
                <w:highlight w:val="yellow"/>
              </w:rPr>
              <w:t>6.76</w:t>
            </w:r>
          </w:p>
        </w:tc>
        <w:tc>
          <w:tcPr>
            <w:tcW w:w="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0F12FE2A" w14:textId="77777777" w:rsidR="001A4A8D" w:rsidRPr="000F3554" w:rsidRDefault="007141C1">
            <w:pPr>
              <w:jc w:val="center"/>
              <w:rPr>
                <w:highlight w:val="yellow"/>
              </w:rPr>
            </w:pPr>
            <w:r w:rsidRPr="000F3554">
              <w:rPr>
                <w:highlight w:val="yellow"/>
              </w:rPr>
              <w:t>5.20</w:t>
            </w:r>
          </w:p>
        </w:tc>
        <w:tc>
          <w:tcPr>
            <w:tcW w:w="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66AD5331" w14:textId="77777777" w:rsidR="001A4A8D" w:rsidRPr="000F3554" w:rsidRDefault="007141C1">
            <w:pPr>
              <w:jc w:val="center"/>
              <w:rPr>
                <w:highlight w:val="yellow"/>
              </w:rPr>
            </w:pPr>
            <w:r w:rsidRPr="000F3554">
              <w:rPr>
                <w:highlight w:val="yellow"/>
              </w:rPr>
              <w:t>0.61</w:t>
            </w:r>
          </w:p>
        </w:tc>
        <w:tc>
          <w:tcPr>
            <w:tcW w:w="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225D7903" w14:textId="77777777" w:rsidR="001A4A8D" w:rsidRPr="000F3554" w:rsidRDefault="007141C1">
            <w:pPr>
              <w:jc w:val="center"/>
              <w:rPr>
                <w:highlight w:val="yellow"/>
              </w:rPr>
            </w:pPr>
            <w:r w:rsidRPr="000F3554">
              <w:rPr>
                <w:highlight w:val="yellow"/>
              </w:rPr>
              <w:t>−0.18</w:t>
            </w:r>
          </w:p>
        </w:tc>
      </w:tr>
      <w:tr w:rsidR="001A4A8D" w:rsidRPr="000F3554" w14:paraId="2E5DCA4A" w14:textId="77777777">
        <w:tc>
          <w:tcPr>
            <w:tcW w:w="175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28BEEA68" w14:textId="77777777" w:rsidR="001A4A8D" w:rsidRPr="000F3554" w:rsidRDefault="007141C1">
            <w:pPr>
              <w:rPr>
                <w:highlight w:val="yellow"/>
              </w:rPr>
            </w:pPr>
            <w:proofErr w:type="spellStart"/>
            <w:r w:rsidRPr="000F3554">
              <w:rPr>
                <w:highlight w:val="yellow"/>
              </w:rPr>
              <w:t>Millennials</w:t>
            </w:r>
            <w:proofErr w:type="spellEnd"/>
          </w:p>
        </w:tc>
        <w:tc>
          <w:tcPr>
            <w:tcW w:w="175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3F336E79" w14:textId="77777777" w:rsidR="001A4A8D" w:rsidRPr="000F3554" w:rsidRDefault="007141C1">
            <w:pPr>
              <w:rPr>
                <w:highlight w:val="yellow"/>
              </w:rPr>
            </w:pPr>
            <w:r w:rsidRPr="000F3554">
              <w:rPr>
                <w:highlight w:val="yellow"/>
              </w:rPr>
              <w:t>Alto (&gt;2 h)</w:t>
            </w:r>
          </w:p>
        </w:tc>
        <w:tc>
          <w:tcPr>
            <w:tcW w:w="7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3321F7DE" w14:textId="77777777" w:rsidR="001A4A8D" w:rsidRPr="000F3554" w:rsidRDefault="007141C1">
            <w:pPr>
              <w:jc w:val="center"/>
              <w:rPr>
                <w:highlight w:val="yellow"/>
              </w:rPr>
            </w:pPr>
            <w:r w:rsidRPr="000F3554">
              <w:rPr>
                <w:highlight w:val="yellow"/>
              </w:rPr>
              <w:t>18</w:t>
            </w:r>
          </w:p>
        </w:tc>
        <w:tc>
          <w:tcPr>
            <w:tcW w:w="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392EC64E" w14:textId="77777777" w:rsidR="001A4A8D" w:rsidRPr="000F3554" w:rsidRDefault="007141C1">
            <w:pPr>
              <w:jc w:val="center"/>
              <w:rPr>
                <w:highlight w:val="yellow"/>
              </w:rPr>
            </w:pPr>
            <w:r w:rsidRPr="000F3554">
              <w:rPr>
                <w:highlight w:val="yellow"/>
              </w:rPr>
              <w:t>5.94</w:t>
            </w:r>
          </w:p>
        </w:tc>
        <w:tc>
          <w:tcPr>
            <w:tcW w:w="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527A8330" w14:textId="77777777" w:rsidR="001A4A8D" w:rsidRPr="000F3554" w:rsidRDefault="007141C1">
            <w:pPr>
              <w:jc w:val="center"/>
              <w:rPr>
                <w:highlight w:val="yellow"/>
              </w:rPr>
            </w:pPr>
            <w:r w:rsidRPr="000F3554">
              <w:rPr>
                <w:highlight w:val="yellow"/>
              </w:rPr>
              <w:t>2.41</w:t>
            </w:r>
          </w:p>
        </w:tc>
        <w:tc>
          <w:tcPr>
            <w:tcW w:w="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4107B502" w14:textId="77777777" w:rsidR="001A4A8D" w:rsidRPr="000F3554" w:rsidRDefault="007141C1">
            <w:pPr>
              <w:jc w:val="center"/>
              <w:rPr>
                <w:highlight w:val="yellow"/>
              </w:rPr>
            </w:pPr>
            <w:r w:rsidRPr="000F3554">
              <w:rPr>
                <w:highlight w:val="yellow"/>
              </w:rPr>
              <w:t>0.21</w:t>
            </w:r>
          </w:p>
        </w:tc>
        <w:tc>
          <w:tcPr>
            <w:tcW w:w="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5FB7EF22" w14:textId="77777777" w:rsidR="001A4A8D" w:rsidRPr="000F3554" w:rsidRDefault="007141C1">
            <w:pPr>
              <w:jc w:val="center"/>
              <w:rPr>
                <w:highlight w:val="yellow"/>
              </w:rPr>
            </w:pPr>
            <w:r w:rsidRPr="000F3554">
              <w:rPr>
                <w:highlight w:val="yellow"/>
              </w:rPr>
              <w:t>−0.64</w:t>
            </w:r>
          </w:p>
        </w:tc>
      </w:tr>
      <w:tr w:rsidR="001A4A8D" w:rsidRPr="000F3554" w14:paraId="2B1B2A7F" w14:textId="77777777">
        <w:tc>
          <w:tcPr>
            <w:tcW w:w="175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5F2631AD" w14:textId="77777777" w:rsidR="001A4A8D" w:rsidRPr="000F3554" w:rsidRDefault="007141C1">
            <w:pPr>
              <w:rPr>
                <w:highlight w:val="yellow"/>
              </w:rPr>
            </w:pPr>
            <w:r w:rsidRPr="000F3554">
              <w:rPr>
                <w:highlight w:val="yellow"/>
              </w:rPr>
              <w:t>Generación X</w:t>
            </w:r>
          </w:p>
        </w:tc>
        <w:tc>
          <w:tcPr>
            <w:tcW w:w="175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574CADE9" w14:textId="77777777" w:rsidR="001A4A8D" w:rsidRPr="000F3554" w:rsidRDefault="007141C1">
            <w:pPr>
              <w:rPr>
                <w:highlight w:val="yellow"/>
              </w:rPr>
            </w:pPr>
            <w:r w:rsidRPr="000F3554">
              <w:rPr>
                <w:highlight w:val="yellow"/>
              </w:rPr>
              <w:t>Bajo (≤2 h)</w:t>
            </w:r>
          </w:p>
        </w:tc>
        <w:tc>
          <w:tcPr>
            <w:tcW w:w="7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33B8AB59" w14:textId="77777777" w:rsidR="001A4A8D" w:rsidRPr="000F3554" w:rsidRDefault="007141C1">
            <w:pPr>
              <w:jc w:val="center"/>
              <w:rPr>
                <w:highlight w:val="yellow"/>
              </w:rPr>
            </w:pPr>
            <w:r w:rsidRPr="000F3554">
              <w:rPr>
                <w:highlight w:val="yellow"/>
              </w:rPr>
              <w:t>10</w:t>
            </w:r>
          </w:p>
        </w:tc>
        <w:tc>
          <w:tcPr>
            <w:tcW w:w="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4E9237CB" w14:textId="77777777" w:rsidR="001A4A8D" w:rsidRPr="000F3554" w:rsidRDefault="007141C1">
            <w:pPr>
              <w:jc w:val="center"/>
              <w:rPr>
                <w:highlight w:val="yellow"/>
              </w:rPr>
            </w:pPr>
            <w:r w:rsidRPr="000F3554">
              <w:rPr>
                <w:highlight w:val="yellow"/>
              </w:rPr>
              <w:t>7.60</w:t>
            </w:r>
          </w:p>
        </w:tc>
        <w:tc>
          <w:tcPr>
            <w:tcW w:w="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5A734501" w14:textId="77777777" w:rsidR="001A4A8D" w:rsidRPr="000F3554" w:rsidRDefault="007141C1">
            <w:pPr>
              <w:jc w:val="center"/>
              <w:rPr>
                <w:highlight w:val="yellow"/>
              </w:rPr>
            </w:pPr>
            <w:r w:rsidRPr="000F3554">
              <w:rPr>
                <w:highlight w:val="yellow"/>
              </w:rPr>
              <w:t>6.47</w:t>
            </w:r>
          </w:p>
        </w:tc>
        <w:tc>
          <w:tcPr>
            <w:tcW w:w="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132B2489" w14:textId="77777777" w:rsidR="001A4A8D" w:rsidRPr="000F3554" w:rsidRDefault="007141C1">
            <w:pPr>
              <w:jc w:val="center"/>
              <w:rPr>
                <w:highlight w:val="yellow"/>
              </w:rPr>
            </w:pPr>
            <w:r w:rsidRPr="000F3554">
              <w:rPr>
                <w:highlight w:val="yellow"/>
              </w:rPr>
              <w:t>1.22</w:t>
            </w:r>
          </w:p>
        </w:tc>
        <w:tc>
          <w:tcPr>
            <w:tcW w:w="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79256831" w14:textId="77777777" w:rsidR="001A4A8D" w:rsidRPr="000F3554" w:rsidRDefault="007141C1">
            <w:pPr>
              <w:jc w:val="center"/>
              <w:rPr>
                <w:highlight w:val="yellow"/>
              </w:rPr>
            </w:pPr>
            <w:r w:rsidRPr="000F3554">
              <w:rPr>
                <w:highlight w:val="yellow"/>
              </w:rPr>
              <w:t>1.74</w:t>
            </w:r>
          </w:p>
        </w:tc>
      </w:tr>
      <w:tr w:rsidR="001A4A8D" w:rsidRPr="000F3554" w14:paraId="38977FB7" w14:textId="77777777">
        <w:tc>
          <w:tcPr>
            <w:tcW w:w="1750" w:type="dxa"/>
            <w:tcBorders>
              <w:top w:val="none" w:sz="0" w:space="0" w:color="FFFFFF"/>
              <w:left w:val="none" w:sz="0" w:space="0" w:color="FFFFFF"/>
              <w:bottom w:val="single" w:sz="4" w:space="0" w:color="000000"/>
              <w:right w:val="none" w:sz="0" w:space="0" w:color="FFFFFF"/>
            </w:tcBorders>
            <w:tcMar>
              <w:top w:w="60" w:type="dxa"/>
              <w:left w:w="100" w:type="dxa"/>
              <w:bottom w:w="60" w:type="dxa"/>
              <w:right w:w="100" w:type="dxa"/>
            </w:tcMar>
            <w:vAlign w:val="center"/>
          </w:tcPr>
          <w:p w14:paraId="4C3A0601" w14:textId="77777777" w:rsidR="001A4A8D" w:rsidRPr="000F3554" w:rsidRDefault="007141C1">
            <w:pPr>
              <w:rPr>
                <w:highlight w:val="yellow"/>
              </w:rPr>
            </w:pPr>
            <w:r w:rsidRPr="000F3554">
              <w:rPr>
                <w:highlight w:val="yellow"/>
              </w:rPr>
              <w:t>Generación X</w:t>
            </w:r>
          </w:p>
        </w:tc>
        <w:tc>
          <w:tcPr>
            <w:tcW w:w="1750" w:type="dxa"/>
            <w:tcBorders>
              <w:top w:val="none" w:sz="0" w:space="0" w:color="FFFFFF"/>
              <w:left w:val="none" w:sz="0" w:space="0" w:color="FFFFFF"/>
              <w:bottom w:val="single" w:sz="4" w:space="0" w:color="000000"/>
              <w:right w:val="none" w:sz="0" w:space="0" w:color="FFFFFF"/>
            </w:tcBorders>
            <w:tcMar>
              <w:top w:w="60" w:type="dxa"/>
              <w:left w:w="100" w:type="dxa"/>
              <w:bottom w:w="60" w:type="dxa"/>
              <w:right w:w="100" w:type="dxa"/>
            </w:tcMar>
            <w:vAlign w:val="center"/>
          </w:tcPr>
          <w:p w14:paraId="69053338" w14:textId="77777777" w:rsidR="001A4A8D" w:rsidRPr="000F3554" w:rsidRDefault="007141C1">
            <w:pPr>
              <w:rPr>
                <w:highlight w:val="yellow"/>
              </w:rPr>
            </w:pPr>
            <w:r w:rsidRPr="000F3554">
              <w:rPr>
                <w:highlight w:val="yellow"/>
              </w:rPr>
              <w:t>Alto (&gt;2 h)</w:t>
            </w:r>
          </w:p>
        </w:tc>
        <w:tc>
          <w:tcPr>
            <w:tcW w:w="700" w:type="dxa"/>
            <w:tcBorders>
              <w:top w:val="none" w:sz="0" w:space="0" w:color="FFFFFF"/>
              <w:left w:val="none" w:sz="0" w:space="0" w:color="FFFFFF"/>
              <w:bottom w:val="single" w:sz="4" w:space="0" w:color="000000"/>
              <w:right w:val="none" w:sz="0" w:space="0" w:color="FFFFFF"/>
            </w:tcBorders>
            <w:tcMar>
              <w:top w:w="60" w:type="dxa"/>
              <w:left w:w="100" w:type="dxa"/>
              <w:bottom w:w="60" w:type="dxa"/>
              <w:right w:w="100" w:type="dxa"/>
            </w:tcMar>
            <w:vAlign w:val="center"/>
          </w:tcPr>
          <w:p w14:paraId="078AE9E7" w14:textId="77777777" w:rsidR="001A4A8D" w:rsidRPr="000F3554" w:rsidRDefault="007141C1">
            <w:pPr>
              <w:jc w:val="center"/>
              <w:rPr>
                <w:highlight w:val="yellow"/>
              </w:rPr>
            </w:pPr>
            <w:r w:rsidRPr="000F3554">
              <w:rPr>
                <w:highlight w:val="yellow"/>
              </w:rPr>
              <w:t>2</w:t>
            </w:r>
          </w:p>
        </w:tc>
        <w:tc>
          <w:tcPr>
            <w:tcW w:w="800" w:type="dxa"/>
            <w:tcBorders>
              <w:top w:val="none" w:sz="0" w:space="0" w:color="FFFFFF"/>
              <w:left w:val="none" w:sz="0" w:space="0" w:color="FFFFFF"/>
              <w:bottom w:val="single" w:sz="4" w:space="0" w:color="000000"/>
              <w:right w:val="none" w:sz="0" w:space="0" w:color="FFFFFF"/>
            </w:tcBorders>
            <w:tcMar>
              <w:top w:w="60" w:type="dxa"/>
              <w:left w:w="100" w:type="dxa"/>
              <w:bottom w:w="60" w:type="dxa"/>
              <w:right w:w="100" w:type="dxa"/>
            </w:tcMar>
            <w:vAlign w:val="center"/>
          </w:tcPr>
          <w:p w14:paraId="773BEE60" w14:textId="77777777" w:rsidR="001A4A8D" w:rsidRPr="000F3554" w:rsidRDefault="007141C1">
            <w:pPr>
              <w:jc w:val="center"/>
              <w:rPr>
                <w:highlight w:val="yellow"/>
              </w:rPr>
            </w:pPr>
            <w:r w:rsidRPr="000F3554">
              <w:rPr>
                <w:highlight w:val="yellow"/>
              </w:rPr>
              <w:t>9.50</w:t>
            </w:r>
          </w:p>
        </w:tc>
        <w:tc>
          <w:tcPr>
            <w:tcW w:w="800" w:type="dxa"/>
            <w:tcBorders>
              <w:top w:val="none" w:sz="0" w:space="0" w:color="FFFFFF"/>
              <w:left w:val="none" w:sz="0" w:space="0" w:color="FFFFFF"/>
              <w:bottom w:val="single" w:sz="4" w:space="0" w:color="000000"/>
              <w:right w:val="none" w:sz="0" w:space="0" w:color="FFFFFF"/>
            </w:tcBorders>
            <w:tcMar>
              <w:top w:w="60" w:type="dxa"/>
              <w:left w:w="100" w:type="dxa"/>
              <w:bottom w:w="60" w:type="dxa"/>
              <w:right w:w="100" w:type="dxa"/>
            </w:tcMar>
            <w:vAlign w:val="center"/>
          </w:tcPr>
          <w:p w14:paraId="5134C033" w14:textId="77777777" w:rsidR="001A4A8D" w:rsidRPr="000F3554" w:rsidRDefault="007141C1">
            <w:pPr>
              <w:jc w:val="center"/>
              <w:rPr>
                <w:highlight w:val="yellow"/>
              </w:rPr>
            </w:pPr>
            <w:r w:rsidRPr="000F3554">
              <w:rPr>
                <w:highlight w:val="yellow"/>
              </w:rPr>
              <w:t>0.71</w:t>
            </w:r>
          </w:p>
        </w:tc>
        <w:tc>
          <w:tcPr>
            <w:tcW w:w="800" w:type="dxa"/>
            <w:tcBorders>
              <w:top w:val="none" w:sz="0" w:space="0" w:color="FFFFFF"/>
              <w:left w:val="none" w:sz="0" w:space="0" w:color="FFFFFF"/>
              <w:bottom w:val="single" w:sz="4" w:space="0" w:color="000000"/>
              <w:right w:val="none" w:sz="0" w:space="0" w:color="FFFFFF"/>
            </w:tcBorders>
            <w:tcMar>
              <w:top w:w="60" w:type="dxa"/>
              <w:left w:w="100" w:type="dxa"/>
              <w:bottom w:w="60" w:type="dxa"/>
              <w:right w:w="100" w:type="dxa"/>
            </w:tcMar>
            <w:vAlign w:val="center"/>
          </w:tcPr>
          <w:p w14:paraId="6FBE50F2" w14:textId="77777777" w:rsidR="001A4A8D" w:rsidRPr="000F3554" w:rsidRDefault="007141C1">
            <w:pPr>
              <w:jc w:val="center"/>
              <w:rPr>
                <w:highlight w:val="yellow"/>
              </w:rPr>
            </w:pPr>
            <w:r w:rsidRPr="000F3554">
              <w:rPr>
                <w:highlight w:val="yellow"/>
              </w:rPr>
              <w:t>—</w:t>
            </w:r>
          </w:p>
        </w:tc>
        <w:tc>
          <w:tcPr>
            <w:tcW w:w="800" w:type="dxa"/>
            <w:tcBorders>
              <w:top w:val="none" w:sz="0" w:space="0" w:color="FFFFFF"/>
              <w:left w:val="none" w:sz="0" w:space="0" w:color="FFFFFF"/>
              <w:bottom w:val="single" w:sz="4" w:space="0" w:color="000000"/>
              <w:right w:val="none" w:sz="0" w:space="0" w:color="FFFFFF"/>
            </w:tcBorders>
            <w:tcMar>
              <w:top w:w="60" w:type="dxa"/>
              <w:left w:w="100" w:type="dxa"/>
              <w:bottom w:w="60" w:type="dxa"/>
              <w:right w:w="100" w:type="dxa"/>
            </w:tcMar>
            <w:vAlign w:val="center"/>
          </w:tcPr>
          <w:p w14:paraId="73344DBF" w14:textId="77777777" w:rsidR="001A4A8D" w:rsidRPr="000F3554" w:rsidRDefault="007141C1">
            <w:pPr>
              <w:jc w:val="center"/>
              <w:rPr>
                <w:highlight w:val="yellow"/>
              </w:rPr>
            </w:pPr>
            <w:r w:rsidRPr="000F3554">
              <w:rPr>
                <w:highlight w:val="yellow"/>
              </w:rPr>
              <w:t>—</w:t>
            </w:r>
          </w:p>
        </w:tc>
      </w:tr>
    </w:tbl>
    <w:p w14:paraId="270B558A" w14:textId="77777777" w:rsidR="001A4A8D" w:rsidRDefault="007141C1">
      <w:pPr>
        <w:spacing w:before="60"/>
      </w:pPr>
      <w:r w:rsidRPr="000F3554">
        <w:rPr>
          <w:i/>
          <w:iCs/>
          <w:highlight w:val="yellow"/>
        </w:rPr>
        <w:t>Nota.</w:t>
      </w:r>
      <w:r w:rsidRPr="000F3554">
        <w:rPr>
          <w:highlight w:val="yellow"/>
        </w:rPr>
        <w:t xml:space="preserve"> </w:t>
      </w:r>
      <w:r w:rsidRPr="000F3554">
        <w:rPr>
          <w:i/>
          <w:iCs/>
          <w:highlight w:val="yellow"/>
        </w:rPr>
        <w:t>N</w:t>
      </w:r>
      <w:r w:rsidRPr="000F3554">
        <w:rPr>
          <w:highlight w:val="yellow"/>
        </w:rPr>
        <w:t xml:space="preserve"> = 86. </w:t>
      </w:r>
      <w:r w:rsidRPr="000F3554">
        <w:rPr>
          <w:i/>
          <w:iCs/>
          <w:highlight w:val="yellow"/>
        </w:rPr>
        <w:t>As</w:t>
      </w:r>
      <w:r w:rsidRPr="000F3554">
        <w:rPr>
          <w:highlight w:val="yellow"/>
        </w:rPr>
        <w:t xml:space="preserve"> = asimetría; </w:t>
      </w:r>
      <w:r w:rsidRPr="000F3554">
        <w:rPr>
          <w:i/>
          <w:iCs/>
          <w:highlight w:val="yellow"/>
        </w:rPr>
        <w:t>Cr</w:t>
      </w:r>
      <w:r w:rsidRPr="000F3554">
        <w:rPr>
          <w:highlight w:val="yellow"/>
        </w:rPr>
        <w:t xml:space="preserve"> = curtosis. La celda Generación X · Alto uso (</w:t>
      </w:r>
      <w:r w:rsidRPr="000F3554">
        <w:rPr>
          <w:i/>
          <w:iCs/>
          <w:highlight w:val="yellow"/>
        </w:rPr>
        <w:t>n</w:t>
      </w:r>
      <w:r w:rsidRPr="000F3554">
        <w:rPr>
          <w:highlight w:val="yellow"/>
        </w:rPr>
        <w:t xml:space="preserve"> = 2) no permite el cálculo confiable de </w:t>
      </w:r>
      <w:r w:rsidRPr="000F3554">
        <w:rPr>
          <w:i/>
          <w:iCs/>
          <w:highlight w:val="yellow"/>
        </w:rPr>
        <w:t>As</w:t>
      </w:r>
      <w:r w:rsidRPr="000F3554">
        <w:rPr>
          <w:highlight w:val="yellow"/>
        </w:rPr>
        <w:t xml:space="preserve"> y </w:t>
      </w:r>
      <w:r w:rsidRPr="000F3554">
        <w:rPr>
          <w:i/>
          <w:iCs/>
          <w:highlight w:val="yellow"/>
        </w:rPr>
        <w:t>Cr</w:t>
      </w:r>
      <w:r w:rsidRPr="000F3554">
        <w:rPr>
          <w:highlight w:val="yellow"/>
        </w:rPr>
        <w:t>.</w:t>
      </w:r>
    </w:p>
    <w:p w14:paraId="78DD629A" w14:textId="77777777" w:rsidR="001A4A8D" w:rsidRDefault="001A4A8D"/>
    <w:p w14:paraId="601C951F" w14:textId="77777777" w:rsidR="001A4A8D" w:rsidRDefault="007141C1">
      <w:pPr>
        <w:spacing w:before="180" w:after="80"/>
      </w:pPr>
      <w:r>
        <w:rPr>
          <w:b/>
          <w:bCs/>
        </w:rPr>
        <w:t>Evaluación de supuestos</w:t>
      </w:r>
    </w:p>
    <w:p w14:paraId="4391A4BF" w14:textId="77777777" w:rsidR="001A4A8D" w:rsidRDefault="007141C1">
      <w:pPr>
        <w:ind w:firstLine="720"/>
        <w:jc w:val="both"/>
      </w:pPr>
      <w:r>
        <w:rPr>
          <w:b/>
          <w:bCs/>
        </w:rPr>
        <w:t xml:space="preserve">Normalidad. </w:t>
      </w:r>
      <w:r>
        <w:t>La prueba de Shapiro-Wilk aplicada a cada celda evaluable (</w:t>
      </w:r>
      <w:r>
        <w:rPr>
          <w:i/>
          <w:iCs/>
        </w:rPr>
        <w:t>n</w:t>
      </w:r>
      <w:r>
        <w:t xml:space="preserve"> ≥ 3) no rechazó el supuesto de normalidad: Generación Z · Bajo uso, </w:t>
      </w:r>
      <w:r>
        <w:rPr>
          <w:i/>
          <w:iCs/>
        </w:rPr>
        <w:t>W</w:t>
      </w:r>
      <w:r>
        <w:t xml:space="preserve"> = 0.90, </w:t>
      </w:r>
      <w:r>
        <w:rPr>
          <w:i/>
          <w:iCs/>
        </w:rPr>
        <w:t>p</w:t>
      </w:r>
      <w:r>
        <w:t xml:space="preserve"> = .171; Generación Z · Alto uso, </w:t>
      </w:r>
      <w:r>
        <w:rPr>
          <w:i/>
          <w:iCs/>
        </w:rPr>
        <w:t>W</w:t>
      </w:r>
      <w:r>
        <w:t xml:space="preserve"> = 0.97, </w:t>
      </w:r>
      <w:r>
        <w:rPr>
          <w:i/>
          <w:iCs/>
        </w:rPr>
        <w:t>p</w:t>
      </w:r>
      <w:r>
        <w:t xml:space="preserve"> = .473; </w:t>
      </w:r>
      <w:proofErr w:type="spellStart"/>
      <w:r>
        <w:t>Millennials</w:t>
      </w:r>
      <w:proofErr w:type="spellEnd"/>
      <w:r>
        <w:t xml:space="preserve"> · Bajo uso, </w:t>
      </w:r>
      <w:r>
        <w:rPr>
          <w:i/>
          <w:iCs/>
        </w:rPr>
        <w:t>W</w:t>
      </w:r>
      <w:r>
        <w:t xml:space="preserve"> = 0.95, </w:t>
      </w:r>
      <w:r>
        <w:rPr>
          <w:i/>
          <w:iCs/>
        </w:rPr>
        <w:t>p</w:t>
      </w:r>
      <w:r>
        <w:t xml:space="preserve"> = .395; </w:t>
      </w:r>
      <w:proofErr w:type="spellStart"/>
      <w:r>
        <w:t>Millennials</w:t>
      </w:r>
      <w:proofErr w:type="spellEnd"/>
      <w:r>
        <w:t xml:space="preserve"> · Alto uso, </w:t>
      </w:r>
      <w:r>
        <w:rPr>
          <w:i/>
          <w:iCs/>
        </w:rPr>
        <w:t>W</w:t>
      </w:r>
      <w:r>
        <w:t xml:space="preserve"> = 0.93, </w:t>
      </w:r>
      <w:r>
        <w:rPr>
          <w:i/>
          <w:iCs/>
        </w:rPr>
        <w:t>p</w:t>
      </w:r>
      <w:r>
        <w:t xml:space="preserve"> = .192; Generación X · Bajo uso, </w:t>
      </w:r>
      <w:r>
        <w:rPr>
          <w:i/>
          <w:iCs/>
        </w:rPr>
        <w:t>W</w:t>
      </w:r>
      <w:r>
        <w:t xml:space="preserve"> = 0.90, </w:t>
      </w:r>
      <w:r>
        <w:rPr>
          <w:i/>
          <w:iCs/>
        </w:rPr>
        <w:t>p</w:t>
      </w:r>
      <w:r>
        <w:t xml:space="preserve"> = .246. La prueba aplicada a los residuos del modelo arrojó </w:t>
      </w:r>
      <w:r>
        <w:rPr>
          <w:i/>
          <w:iCs/>
        </w:rPr>
        <w:t>W</w:t>
      </w:r>
      <w:r>
        <w:t xml:space="preserve"> = 0.96, </w:t>
      </w:r>
      <w:r>
        <w:rPr>
          <w:i/>
          <w:iCs/>
        </w:rPr>
        <w:t>p</w:t>
      </w:r>
      <w:r>
        <w:t xml:space="preserve"> = .006, con índices de asimetría (</w:t>
      </w:r>
      <w:r>
        <w:rPr>
          <w:i/>
          <w:iCs/>
        </w:rPr>
        <w:t>As</w:t>
      </w:r>
      <w:r>
        <w:t xml:space="preserve"> = 0.80) y curtosis (</w:t>
      </w:r>
      <w:r>
        <w:rPr>
          <w:i/>
          <w:iCs/>
        </w:rPr>
        <w:t>Cr</w:t>
      </w:r>
      <w:r>
        <w:t xml:space="preserve"> = 0.89) dentro de los criterios de Kline (2016). Dado el tamaño muestral global (</w:t>
      </w:r>
      <w:r>
        <w:rPr>
          <w:i/>
          <w:iCs/>
        </w:rPr>
        <w:t>N</w:t>
      </w:r>
      <w:r>
        <w:t xml:space="preserve"> = 86) y la magnitud moderada de la desviación, se invocó el Teorema Central del Límite (Botella et al., 2012) para sostener la robustez del análisis paramétrico.</w:t>
      </w:r>
    </w:p>
    <w:p w14:paraId="456A0F19" w14:textId="77777777" w:rsidR="001A4A8D" w:rsidRDefault="007141C1">
      <w:pPr>
        <w:ind w:firstLine="720"/>
        <w:jc w:val="both"/>
      </w:pPr>
      <w:r>
        <w:rPr>
          <w:b/>
          <w:bCs/>
        </w:rPr>
        <w:t xml:space="preserve">Homogeneidad de varianzas. </w:t>
      </w:r>
      <w:r>
        <w:t xml:space="preserve">La prueba de Levene basada en la mediana no resultó significativa, </w:t>
      </w:r>
      <w:proofErr w:type="gramStart"/>
      <w:r>
        <w:rPr>
          <w:i/>
          <w:iCs/>
        </w:rPr>
        <w:t>F</w:t>
      </w:r>
      <w:r>
        <w:t>(</w:t>
      </w:r>
      <w:proofErr w:type="gramEnd"/>
      <w:r>
        <w:t xml:space="preserve">5, 80) = 1.72, </w:t>
      </w:r>
      <w:r>
        <w:rPr>
          <w:i/>
          <w:iCs/>
        </w:rPr>
        <w:t>p</w:t>
      </w:r>
      <w:r>
        <w:t xml:space="preserve"> = .139, indicando que el supuesto de homocedasticidad se mantiene.</w:t>
      </w:r>
    </w:p>
    <w:p w14:paraId="10D21883" w14:textId="77777777" w:rsidR="001A4A8D" w:rsidRDefault="007141C1">
      <w:pPr>
        <w:ind w:firstLine="720"/>
        <w:jc w:val="both"/>
      </w:pPr>
      <w:r>
        <w:rPr>
          <w:b/>
          <w:bCs/>
        </w:rPr>
        <w:t xml:space="preserve">Independencia. </w:t>
      </w:r>
      <w:r>
        <w:t xml:space="preserve">Quedó garantizada por la estructura del diseño </w:t>
      </w:r>
      <w:proofErr w:type="spellStart"/>
      <w:r>
        <w:t>entre-sujetos</w:t>
      </w:r>
      <w:proofErr w:type="spellEnd"/>
      <w:r>
        <w:t>.</w:t>
      </w:r>
    </w:p>
    <w:p w14:paraId="670318AD" w14:textId="77777777" w:rsidR="001A4A8D" w:rsidRDefault="007141C1">
      <w:pPr>
        <w:spacing w:before="180" w:after="80"/>
      </w:pPr>
      <w:r>
        <w:rPr>
          <w:b/>
          <w:bCs/>
        </w:rPr>
        <w:t>Análisis principal: ANOVA factorial 3 × 2</w:t>
      </w:r>
    </w:p>
    <w:p w14:paraId="7CD6A2CC" w14:textId="77777777" w:rsidR="001A4A8D" w:rsidRDefault="007141C1">
      <w:pPr>
        <w:ind w:firstLine="720"/>
        <w:jc w:val="both"/>
      </w:pPr>
      <w:r>
        <w:t xml:space="preserve">Los resultados del análisis de varianza factorial </w:t>
      </w:r>
      <w:proofErr w:type="spellStart"/>
      <w:r>
        <w:t>entre-sujetos</w:t>
      </w:r>
      <w:proofErr w:type="spellEnd"/>
      <w:r>
        <w:t xml:space="preserve"> (Tipo III) se presentan en la Tabla 3. Ningún efecto resultó estadísticamente significativo al nivel α = .05.</w:t>
      </w:r>
    </w:p>
    <w:p w14:paraId="51307946" w14:textId="12CD3C85" w:rsidR="001A4A8D" w:rsidRDefault="001A4A8D"/>
    <w:p w14:paraId="66976AA5" w14:textId="59E31BD9" w:rsidR="000F3554" w:rsidRDefault="000F3554"/>
    <w:p w14:paraId="78B040D9" w14:textId="77777777" w:rsidR="000F3554" w:rsidRDefault="000F3554"/>
    <w:p w14:paraId="4BA9545C" w14:textId="77777777" w:rsidR="001A4A8D" w:rsidRPr="000F3554" w:rsidRDefault="007141C1">
      <w:pPr>
        <w:rPr>
          <w:highlight w:val="yellow"/>
        </w:rPr>
      </w:pPr>
      <w:r w:rsidRPr="000F3554">
        <w:rPr>
          <w:b/>
          <w:bCs/>
          <w:highlight w:val="yellow"/>
        </w:rPr>
        <w:lastRenderedPageBreak/>
        <w:t>Tabla 3</w:t>
      </w:r>
    </w:p>
    <w:p w14:paraId="3A1636C6" w14:textId="77777777" w:rsidR="001A4A8D" w:rsidRPr="000F3554" w:rsidRDefault="007141C1">
      <w:pPr>
        <w:spacing w:after="80"/>
        <w:rPr>
          <w:highlight w:val="yellow"/>
        </w:rPr>
      </w:pPr>
      <w:r w:rsidRPr="000F3554">
        <w:rPr>
          <w:i/>
          <w:iCs/>
          <w:highlight w:val="yellow"/>
        </w:rPr>
        <w:t>Resultados del ANOVA factorial 3 × 2 sobre ASI Preocupación Social</w:t>
      </w: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200"/>
        <w:gridCol w:w="800"/>
        <w:gridCol w:w="1000"/>
        <w:gridCol w:w="1000"/>
        <w:gridCol w:w="1000"/>
        <w:gridCol w:w="1200"/>
      </w:tblGrid>
      <w:tr w:rsidR="001A4A8D" w:rsidRPr="000F3554" w14:paraId="589A18F4" w14:textId="77777777">
        <w:tc>
          <w:tcPr>
            <w:tcW w:w="2400" w:type="dxa"/>
            <w:tcBorders>
              <w:top w:val="single" w:sz="4" w:space="0" w:color="000000"/>
              <w:left w:val="none" w:sz="0" w:space="0" w:color="FFFFFF"/>
              <w:bottom w:val="single" w:sz="4" w:space="0" w:color="000000"/>
              <w:right w:val="none" w:sz="0" w:space="0" w:color="FFFFFF"/>
            </w:tcBorders>
            <w:tcMar>
              <w:top w:w="60" w:type="dxa"/>
              <w:left w:w="80" w:type="dxa"/>
              <w:bottom w:w="60" w:type="dxa"/>
              <w:right w:w="80" w:type="dxa"/>
            </w:tcMar>
            <w:vAlign w:val="center"/>
          </w:tcPr>
          <w:p w14:paraId="01400C3F" w14:textId="77777777" w:rsidR="001A4A8D" w:rsidRPr="000F3554" w:rsidRDefault="007141C1">
            <w:pPr>
              <w:jc w:val="center"/>
              <w:rPr>
                <w:highlight w:val="yellow"/>
              </w:rPr>
            </w:pPr>
            <w:r w:rsidRPr="000F3554">
              <w:rPr>
                <w:b/>
                <w:bCs/>
                <w:highlight w:val="yellow"/>
              </w:rPr>
              <w:t>Fuente</w:t>
            </w:r>
          </w:p>
        </w:tc>
        <w:tc>
          <w:tcPr>
            <w:tcW w:w="1200" w:type="dxa"/>
            <w:tcBorders>
              <w:top w:val="single" w:sz="4" w:space="0" w:color="000000"/>
              <w:left w:val="none" w:sz="0" w:space="0" w:color="FFFFFF"/>
              <w:bottom w:val="single" w:sz="4" w:space="0" w:color="000000"/>
              <w:right w:val="none" w:sz="0" w:space="0" w:color="FFFFFF"/>
            </w:tcBorders>
            <w:tcMar>
              <w:top w:w="60" w:type="dxa"/>
              <w:left w:w="80" w:type="dxa"/>
              <w:bottom w:w="60" w:type="dxa"/>
              <w:right w:w="80" w:type="dxa"/>
            </w:tcMar>
            <w:vAlign w:val="center"/>
          </w:tcPr>
          <w:p w14:paraId="112276DA" w14:textId="77777777" w:rsidR="001A4A8D" w:rsidRPr="000F3554" w:rsidRDefault="007141C1">
            <w:pPr>
              <w:jc w:val="center"/>
              <w:rPr>
                <w:highlight w:val="yellow"/>
              </w:rPr>
            </w:pPr>
            <w:r w:rsidRPr="000F3554">
              <w:rPr>
                <w:b/>
                <w:bCs/>
                <w:highlight w:val="yellow"/>
              </w:rPr>
              <w:t>SC</w:t>
            </w:r>
          </w:p>
        </w:tc>
        <w:tc>
          <w:tcPr>
            <w:tcW w:w="800" w:type="dxa"/>
            <w:tcBorders>
              <w:top w:val="single" w:sz="4" w:space="0" w:color="000000"/>
              <w:left w:val="none" w:sz="0" w:space="0" w:color="FFFFFF"/>
              <w:bottom w:val="single" w:sz="4" w:space="0" w:color="000000"/>
              <w:right w:val="none" w:sz="0" w:space="0" w:color="FFFFFF"/>
            </w:tcBorders>
            <w:tcMar>
              <w:top w:w="60" w:type="dxa"/>
              <w:left w:w="80" w:type="dxa"/>
              <w:bottom w:w="60" w:type="dxa"/>
              <w:right w:w="80" w:type="dxa"/>
            </w:tcMar>
            <w:vAlign w:val="center"/>
          </w:tcPr>
          <w:p w14:paraId="723631E1" w14:textId="77777777" w:rsidR="001A4A8D" w:rsidRPr="000F3554" w:rsidRDefault="007141C1">
            <w:pPr>
              <w:jc w:val="center"/>
              <w:rPr>
                <w:highlight w:val="yellow"/>
              </w:rPr>
            </w:pPr>
            <w:proofErr w:type="spellStart"/>
            <w:r w:rsidRPr="000F3554">
              <w:rPr>
                <w:b/>
                <w:bCs/>
                <w:i/>
                <w:iCs/>
                <w:highlight w:val="yellow"/>
              </w:rPr>
              <w:t>gl</w:t>
            </w:r>
            <w:proofErr w:type="spellEnd"/>
          </w:p>
        </w:tc>
        <w:tc>
          <w:tcPr>
            <w:tcW w:w="1000" w:type="dxa"/>
            <w:tcBorders>
              <w:top w:val="single" w:sz="4" w:space="0" w:color="000000"/>
              <w:left w:val="none" w:sz="0" w:space="0" w:color="FFFFFF"/>
              <w:bottom w:val="single" w:sz="4" w:space="0" w:color="000000"/>
              <w:right w:val="none" w:sz="0" w:space="0" w:color="FFFFFF"/>
            </w:tcBorders>
            <w:tcMar>
              <w:top w:w="60" w:type="dxa"/>
              <w:left w:w="80" w:type="dxa"/>
              <w:bottom w:w="60" w:type="dxa"/>
              <w:right w:w="80" w:type="dxa"/>
            </w:tcMar>
            <w:vAlign w:val="center"/>
          </w:tcPr>
          <w:p w14:paraId="24248248" w14:textId="77777777" w:rsidR="001A4A8D" w:rsidRPr="000F3554" w:rsidRDefault="007141C1">
            <w:pPr>
              <w:jc w:val="center"/>
              <w:rPr>
                <w:highlight w:val="yellow"/>
              </w:rPr>
            </w:pPr>
            <w:r w:rsidRPr="000F3554">
              <w:rPr>
                <w:b/>
                <w:bCs/>
                <w:i/>
                <w:iCs/>
                <w:highlight w:val="yellow"/>
              </w:rPr>
              <w:t>F</w:t>
            </w:r>
          </w:p>
        </w:tc>
        <w:tc>
          <w:tcPr>
            <w:tcW w:w="1000" w:type="dxa"/>
            <w:tcBorders>
              <w:top w:val="single" w:sz="4" w:space="0" w:color="000000"/>
              <w:left w:val="none" w:sz="0" w:space="0" w:color="FFFFFF"/>
              <w:bottom w:val="single" w:sz="4" w:space="0" w:color="000000"/>
              <w:right w:val="none" w:sz="0" w:space="0" w:color="FFFFFF"/>
            </w:tcBorders>
            <w:tcMar>
              <w:top w:w="60" w:type="dxa"/>
              <w:left w:w="80" w:type="dxa"/>
              <w:bottom w:w="60" w:type="dxa"/>
              <w:right w:w="80" w:type="dxa"/>
            </w:tcMar>
            <w:vAlign w:val="center"/>
          </w:tcPr>
          <w:p w14:paraId="27A6D7DA" w14:textId="77777777" w:rsidR="001A4A8D" w:rsidRPr="000F3554" w:rsidRDefault="007141C1">
            <w:pPr>
              <w:jc w:val="center"/>
              <w:rPr>
                <w:highlight w:val="yellow"/>
              </w:rPr>
            </w:pPr>
            <w:r w:rsidRPr="000F3554">
              <w:rPr>
                <w:b/>
                <w:bCs/>
                <w:i/>
                <w:iCs/>
                <w:highlight w:val="yellow"/>
              </w:rPr>
              <w:t>p</w:t>
            </w:r>
          </w:p>
        </w:tc>
        <w:tc>
          <w:tcPr>
            <w:tcW w:w="1000" w:type="dxa"/>
            <w:tcBorders>
              <w:top w:val="single" w:sz="4" w:space="0" w:color="000000"/>
              <w:left w:val="none" w:sz="0" w:space="0" w:color="FFFFFF"/>
              <w:bottom w:val="single" w:sz="4" w:space="0" w:color="000000"/>
              <w:right w:val="none" w:sz="0" w:space="0" w:color="FFFFFF"/>
            </w:tcBorders>
            <w:tcMar>
              <w:top w:w="60" w:type="dxa"/>
              <w:left w:w="80" w:type="dxa"/>
              <w:bottom w:w="60" w:type="dxa"/>
              <w:right w:w="80" w:type="dxa"/>
            </w:tcMar>
            <w:vAlign w:val="center"/>
          </w:tcPr>
          <w:p w14:paraId="46B39BEA" w14:textId="77777777" w:rsidR="001A4A8D" w:rsidRPr="000F3554" w:rsidRDefault="007141C1">
            <w:pPr>
              <w:jc w:val="center"/>
              <w:rPr>
                <w:highlight w:val="yellow"/>
              </w:rPr>
            </w:pPr>
            <w:r w:rsidRPr="000F3554">
              <w:rPr>
                <w:b/>
                <w:bCs/>
                <w:i/>
                <w:iCs/>
                <w:highlight w:val="yellow"/>
              </w:rPr>
              <w:t>η²ₚ</w:t>
            </w:r>
          </w:p>
        </w:tc>
        <w:tc>
          <w:tcPr>
            <w:tcW w:w="1200" w:type="dxa"/>
            <w:tcBorders>
              <w:top w:val="single" w:sz="4" w:space="0" w:color="000000"/>
              <w:left w:val="none" w:sz="0" w:space="0" w:color="FFFFFF"/>
              <w:bottom w:val="single" w:sz="4" w:space="0" w:color="000000"/>
              <w:right w:val="none" w:sz="0" w:space="0" w:color="FFFFFF"/>
            </w:tcBorders>
            <w:tcMar>
              <w:top w:w="60" w:type="dxa"/>
              <w:left w:w="80" w:type="dxa"/>
              <w:bottom w:w="60" w:type="dxa"/>
              <w:right w:w="80" w:type="dxa"/>
            </w:tcMar>
            <w:vAlign w:val="center"/>
          </w:tcPr>
          <w:p w14:paraId="7371320D" w14:textId="77777777" w:rsidR="001A4A8D" w:rsidRPr="000F3554" w:rsidRDefault="007141C1">
            <w:pPr>
              <w:jc w:val="center"/>
              <w:rPr>
                <w:highlight w:val="yellow"/>
              </w:rPr>
            </w:pPr>
            <w:r w:rsidRPr="000F3554">
              <w:rPr>
                <w:b/>
                <w:bCs/>
                <w:highlight w:val="yellow"/>
              </w:rPr>
              <w:t>Magnitud</w:t>
            </w:r>
          </w:p>
        </w:tc>
      </w:tr>
      <w:tr w:rsidR="001A4A8D" w:rsidRPr="000F3554" w14:paraId="69F0FDCC" w14:textId="77777777">
        <w:tc>
          <w:tcPr>
            <w:tcW w:w="24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2ABC28C6" w14:textId="77777777" w:rsidR="001A4A8D" w:rsidRPr="000F3554" w:rsidRDefault="007141C1">
            <w:pPr>
              <w:rPr>
                <w:highlight w:val="yellow"/>
              </w:rPr>
            </w:pPr>
            <w:r w:rsidRPr="000F3554">
              <w:rPr>
                <w:highlight w:val="yellow"/>
              </w:rPr>
              <w:t>Generación</w:t>
            </w:r>
          </w:p>
        </w:tc>
        <w:tc>
          <w:tcPr>
            <w:tcW w:w="12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0F750F7F" w14:textId="77777777" w:rsidR="001A4A8D" w:rsidRPr="000F3554" w:rsidRDefault="007141C1">
            <w:pPr>
              <w:jc w:val="center"/>
              <w:rPr>
                <w:highlight w:val="yellow"/>
              </w:rPr>
            </w:pPr>
            <w:r w:rsidRPr="000F3554">
              <w:rPr>
                <w:highlight w:val="yellow"/>
              </w:rPr>
              <w:t>99.04</w:t>
            </w:r>
          </w:p>
        </w:tc>
        <w:tc>
          <w:tcPr>
            <w:tcW w:w="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18E02D44" w14:textId="77777777" w:rsidR="001A4A8D" w:rsidRPr="000F3554" w:rsidRDefault="007141C1">
            <w:pPr>
              <w:jc w:val="center"/>
              <w:rPr>
                <w:highlight w:val="yellow"/>
              </w:rPr>
            </w:pPr>
            <w:r w:rsidRPr="000F3554">
              <w:rPr>
                <w:highlight w:val="yellow"/>
              </w:rPr>
              <w:t>2</w:t>
            </w:r>
          </w:p>
        </w:tc>
        <w:tc>
          <w:tcPr>
            <w:tcW w:w="10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6B355108" w14:textId="77777777" w:rsidR="001A4A8D" w:rsidRPr="000F3554" w:rsidRDefault="007141C1">
            <w:pPr>
              <w:jc w:val="center"/>
              <w:rPr>
                <w:highlight w:val="yellow"/>
              </w:rPr>
            </w:pPr>
            <w:r w:rsidRPr="000F3554">
              <w:rPr>
                <w:highlight w:val="yellow"/>
              </w:rPr>
              <w:t>2.29</w:t>
            </w:r>
          </w:p>
        </w:tc>
        <w:tc>
          <w:tcPr>
            <w:tcW w:w="10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77729D1C" w14:textId="77777777" w:rsidR="001A4A8D" w:rsidRPr="000F3554" w:rsidRDefault="007141C1">
            <w:pPr>
              <w:jc w:val="center"/>
              <w:rPr>
                <w:highlight w:val="yellow"/>
              </w:rPr>
            </w:pPr>
            <w:r w:rsidRPr="000F3554">
              <w:rPr>
                <w:highlight w:val="yellow"/>
              </w:rPr>
              <w:t>.108</w:t>
            </w:r>
          </w:p>
        </w:tc>
        <w:tc>
          <w:tcPr>
            <w:tcW w:w="10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03022919" w14:textId="77777777" w:rsidR="001A4A8D" w:rsidRPr="000F3554" w:rsidRDefault="007141C1">
            <w:pPr>
              <w:jc w:val="center"/>
              <w:rPr>
                <w:highlight w:val="yellow"/>
              </w:rPr>
            </w:pPr>
            <w:r w:rsidRPr="000F3554">
              <w:rPr>
                <w:highlight w:val="yellow"/>
              </w:rPr>
              <w:t>.054</w:t>
            </w:r>
          </w:p>
        </w:tc>
        <w:tc>
          <w:tcPr>
            <w:tcW w:w="12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04EF432E" w14:textId="77777777" w:rsidR="001A4A8D" w:rsidRPr="000F3554" w:rsidRDefault="007141C1">
            <w:pPr>
              <w:jc w:val="center"/>
              <w:rPr>
                <w:highlight w:val="yellow"/>
              </w:rPr>
            </w:pPr>
            <w:r w:rsidRPr="000F3554">
              <w:rPr>
                <w:highlight w:val="yellow"/>
              </w:rPr>
              <w:t>pequeño</w:t>
            </w:r>
          </w:p>
        </w:tc>
      </w:tr>
      <w:tr w:rsidR="001A4A8D" w:rsidRPr="000F3554" w14:paraId="7B175DE8" w14:textId="77777777">
        <w:tc>
          <w:tcPr>
            <w:tcW w:w="24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5D4573E2" w14:textId="77777777" w:rsidR="001A4A8D" w:rsidRPr="000F3554" w:rsidRDefault="007141C1">
            <w:pPr>
              <w:rPr>
                <w:highlight w:val="yellow"/>
              </w:rPr>
            </w:pPr>
            <w:r w:rsidRPr="000F3554">
              <w:rPr>
                <w:highlight w:val="yellow"/>
              </w:rPr>
              <w:t>Uso de RRSS</w:t>
            </w:r>
          </w:p>
        </w:tc>
        <w:tc>
          <w:tcPr>
            <w:tcW w:w="12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4C7B8E86" w14:textId="77777777" w:rsidR="001A4A8D" w:rsidRPr="000F3554" w:rsidRDefault="007141C1">
            <w:pPr>
              <w:jc w:val="center"/>
              <w:rPr>
                <w:highlight w:val="yellow"/>
              </w:rPr>
            </w:pPr>
            <w:r w:rsidRPr="000F3554">
              <w:rPr>
                <w:highlight w:val="yellow"/>
              </w:rPr>
              <w:t>6.02</w:t>
            </w:r>
          </w:p>
        </w:tc>
        <w:tc>
          <w:tcPr>
            <w:tcW w:w="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3B179A53" w14:textId="77777777" w:rsidR="001A4A8D" w:rsidRPr="000F3554" w:rsidRDefault="007141C1">
            <w:pPr>
              <w:jc w:val="center"/>
              <w:rPr>
                <w:highlight w:val="yellow"/>
              </w:rPr>
            </w:pPr>
            <w:r w:rsidRPr="000F3554">
              <w:rPr>
                <w:highlight w:val="yellow"/>
              </w:rPr>
              <w:t>1</w:t>
            </w:r>
          </w:p>
        </w:tc>
        <w:tc>
          <w:tcPr>
            <w:tcW w:w="10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13882E5C" w14:textId="77777777" w:rsidR="001A4A8D" w:rsidRPr="000F3554" w:rsidRDefault="007141C1">
            <w:pPr>
              <w:jc w:val="center"/>
              <w:rPr>
                <w:highlight w:val="yellow"/>
              </w:rPr>
            </w:pPr>
            <w:r w:rsidRPr="000F3554">
              <w:rPr>
                <w:highlight w:val="yellow"/>
              </w:rPr>
              <w:t>0.28</w:t>
            </w:r>
          </w:p>
        </w:tc>
        <w:tc>
          <w:tcPr>
            <w:tcW w:w="10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6A67287B" w14:textId="77777777" w:rsidR="001A4A8D" w:rsidRPr="000F3554" w:rsidRDefault="007141C1">
            <w:pPr>
              <w:jc w:val="center"/>
              <w:rPr>
                <w:highlight w:val="yellow"/>
              </w:rPr>
            </w:pPr>
            <w:r w:rsidRPr="000F3554">
              <w:rPr>
                <w:highlight w:val="yellow"/>
              </w:rPr>
              <w:t>.599</w:t>
            </w:r>
          </w:p>
        </w:tc>
        <w:tc>
          <w:tcPr>
            <w:tcW w:w="10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1288E535" w14:textId="77777777" w:rsidR="001A4A8D" w:rsidRPr="000F3554" w:rsidRDefault="007141C1">
            <w:pPr>
              <w:jc w:val="center"/>
              <w:rPr>
                <w:highlight w:val="yellow"/>
              </w:rPr>
            </w:pPr>
            <w:r w:rsidRPr="000F3554">
              <w:rPr>
                <w:highlight w:val="yellow"/>
              </w:rPr>
              <w:t>.003</w:t>
            </w:r>
          </w:p>
        </w:tc>
        <w:tc>
          <w:tcPr>
            <w:tcW w:w="12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28CDD2A9" w14:textId="77777777" w:rsidR="001A4A8D" w:rsidRPr="000F3554" w:rsidRDefault="007141C1">
            <w:pPr>
              <w:jc w:val="center"/>
              <w:rPr>
                <w:highlight w:val="yellow"/>
              </w:rPr>
            </w:pPr>
            <w:r w:rsidRPr="000F3554">
              <w:rPr>
                <w:highlight w:val="yellow"/>
              </w:rPr>
              <w:t>trivial</w:t>
            </w:r>
          </w:p>
        </w:tc>
      </w:tr>
      <w:tr w:rsidR="001A4A8D" w:rsidRPr="000F3554" w14:paraId="319BF97F" w14:textId="77777777">
        <w:tc>
          <w:tcPr>
            <w:tcW w:w="24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4A7A762E" w14:textId="77777777" w:rsidR="001A4A8D" w:rsidRPr="000F3554" w:rsidRDefault="007141C1">
            <w:pPr>
              <w:rPr>
                <w:highlight w:val="yellow"/>
              </w:rPr>
            </w:pPr>
            <w:r w:rsidRPr="000F3554">
              <w:rPr>
                <w:highlight w:val="yellow"/>
              </w:rPr>
              <w:t>Generación × Uso</w:t>
            </w:r>
          </w:p>
        </w:tc>
        <w:tc>
          <w:tcPr>
            <w:tcW w:w="12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5714A7F0" w14:textId="77777777" w:rsidR="001A4A8D" w:rsidRPr="000F3554" w:rsidRDefault="007141C1">
            <w:pPr>
              <w:jc w:val="center"/>
              <w:rPr>
                <w:highlight w:val="yellow"/>
              </w:rPr>
            </w:pPr>
            <w:r w:rsidRPr="000F3554">
              <w:rPr>
                <w:highlight w:val="yellow"/>
              </w:rPr>
              <w:t>29.42</w:t>
            </w:r>
          </w:p>
        </w:tc>
        <w:tc>
          <w:tcPr>
            <w:tcW w:w="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4E7B8B3D" w14:textId="77777777" w:rsidR="001A4A8D" w:rsidRPr="000F3554" w:rsidRDefault="007141C1">
            <w:pPr>
              <w:jc w:val="center"/>
              <w:rPr>
                <w:highlight w:val="yellow"/>
              </w:rPr>
            </w:pPr>
            <w:r w:rsidRPr="000F3554">
              <w:rPr>
                <w:highlight w:val="yellow"/>
              </w:rPr>
              <w:t>2</w:t>
            </w:r>
          </w:p>
        </w:tc>
        <w:tc>
          <w:tcPr>
            <w:tcW w:w="10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74996FF5" w14:textId="77777777" w:rsidR="001A4A8D" w:rsidRPr="000F3554" w:rsidRDefault="007141C1">
            <w:pPr>
              <w:jc w:val="center"/>
              <w:rPr>
                <w:highlight w:val="yellow"/>
              </w:rPr>
            </w:pPr>
            <w:r w:rsidRPr="000F3554">
              <w:rPr>
                <w:highlight w:val="yellow"/>
              </w:rPr>
              <w:t>0.68</w:t>
            </w:r>
          </w:p>
        </w:tc>
        <w:tc>
          <w:tcPr>
            <w:tcW w:w="10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3D69112D" w14:textId="77777777" w:rsidR="001A4A8D" w:rsidRPr="000F3554" w:rsidRDefault="007141C1">
            <w:pPr>
              <w:jc w:val="center"/>
              <w:rPr>
                <w:highlight w:val="yellow"/>
              </w:rPr>
            </w:pPr>
            <w:r w:rsidRPr="000F3554">
              <w:rPr>
                <w:highlight w:val="yellow"/>
              </w:rPr>
              <w:t>.509</w:t>
            </w:r>
          </w:p>
        </w:tc>
        <w:tc>
          <w:tcPr>
            <w:tcW w:w="10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02C4B8E7" w14:textId="77777777" w:rsidR="001A4A8D" w:rsidRPr="000F3554" w:rsidRDefault="007141C1">
            <w:pPr>
              <w:jc w:val="center"/>
              <w:rPr>
                <w:highlight w:val="yellow"/>
              </w:rPr>
            </w:pPr>
            <w:r w:rsidRPr="000F3554">
              <w:rPr>
                <w:highlight w:val="yellow"/>
              </w:rPr>
              <w:t>.017</w:t>
            </w:r>
          </w:p>
        </w:tc>
        <w:tc>
          <w:tcPr>
            <w:tcW w:w="12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4FF62951" w14:textId="77777777" w:rsidR="001A4A8D" w:rsidRPr="000F3554" w:rsidRDefault="007141C1">
            <w:pPr>
              <w:jc w:val="center"/>
              <w:rPr>
                <w:highlight w:val="yellow"/>
              </w:rPr>
            </w:pPr>
            <w:r w:rsidRPr="000F3554">
              <w:rPr>
                <w:highlight w:val="yellow"/>
              </w:rPr>
              <w:t>pequeño</w:t>
            </w:r>
          </w:p>
        </w:tc>
      </w:tr>
      <w:tr w:rsidR="001A4A8D" w:rsidRPr="000F3554" w14:paraId="505FF237" w14:textId="77777777">
        <w:tc>
          <w:tcPr>
            <w:tcW w:w="2400" w:type="dxa"/>
            <w:tcBorders>
              <w:top w:val="none" w:sz="0" w:space="0" w:color="FFFFFF"/>
              <w:left w:val="none" w:sz="0" w:space="0" w:color="FFFFFF"/>
              <w:bottom w:val="single" w:sz="4" w:space="0" w:color="000000"/>
              <w:right w:val="none" w:sz="0" w:space="0" w:color="FFFFFF"/>
            </w:tcBorders>
            <w:tcMar>
              <w:top w:w="60" w:type="dxa"/>
              <w:left w:w="100" w:type="dxa"/>
              <w:bottom w:w="60" w:type="dxa"/>
              <w:right w:w="100" w:type="dxa"/>
            </w:tcMar>
            <w:vAlign w:val="center"/>
          </w:tcPr>
          <w:p w14:paraId="47BF4B49" w14:textId="77777777" w:rsidR="001A4A8D" w:rsidRPr="000F3554" w:rsidRDefault="007141C1">
            <w:pPr>
              <w:rPr>
                <w:highlight w:val="yellow"/>
              </w:rPr>
            </w:pPr>
            <w:r w:rsidRPr="000F3554">
              <w:rPr>
                <w:highlight w:val="yellow"/>
              </w:rPr>
              <w:t>Residual</w:t>
            </w:r>
          </w:p>
        </w:tc>
        <w:tc>
          <w:tcPr>
            <w:tcW w:w="1200" w:type="dxa"/>
            <w:tcBorders>
              <w:top w:val="none" w:sz="0" w:space="0" w:color="FFFFFF"/>
              <w:left w:val="none" w:sz="0" w:space="0" w:color="FFFFFF"/>
              <w:bottom w:val="single" w:sz="4" w:space="0" w:color="000000"/>
              <w:right w:val="none" w:sz="0" w:space="0" w:color="FFFFFF"/>
            </w:tcBorders>
            <w:tcMar>
              <w:top w:w="60" w:type="dxa"/>
              <w:left w:w="100" w:type="dxa"/>
              <w:bottom w:w="60" w:type="dxa"/>
              <w:right w:w="100" w:type="dxa"/>
            </w:tcMar>
            <w:vAlign w:val="center"/>
          </w:tcPr>
          <w:p w14:paraId="10B81AAC" w14:textId="77777777" w:rsidR="001A4A8D" w:rsidRPr="000F3554" w:rsidRDefault="007141C1">
            <w:pPr>
              <w:jc w:val="center"/>
              <w:rPr>
                <w:highlight w:val="yellow"/>
              </w:rPr>
            </w:pPr>
            <w:r w:rsidRPr="000F3554">
              <w:rPr>
                <w:highlight w:val="yellow"/>
              </w:rPr>
              <w:t>1729.97</w:t>
            </w:r>
          </w:p>
        </w:tc>
        <w:tc>
          <w:tcPr>
            <w:tcW w:w="800" w:type="dxa"/>
            <w:tcBorders>
              <w:top w:val="none" w:sz="0" w:space="0" w:color="FFFFFF"/>
              <w:left w:val="none" w:sz="0" w:space="0" w:color="FFFFFF"/>
              <w:bottom w:val="single" w:sz="4" w:space="0" w:color="000000"/>
              <w:right w:val="none" w:sz="0" w:space="0" w:color="FFFFFF"/>
            </w:tcBorders>
            <w:tcMar>
              <w:top w:w="60" w:type="dxa"/>
              <w:left w:w="100" w:type="dxa"/>
              <w:bottom w:w="60" w:type="dxa"/>
              <w:right w:w="100" w:type="dxa"/>
            </w:tcMar>
            <w:vAlign w:val="center"/>
          </w:tcPr>
          <w:p w14:paraId="01E3E239" w14:textId="77777777" w:rsidR="001A4A8D" w:rsidRPr="000F3554" w:rsidRDefault="007141C1">
            <w:pPr>
              <w:jc w:val="center"/>
              <w:rPr>
                <w:highlight w:val="yellow"/>
              </w:rPr>
            </w:pPr>
            <w:r w:rsidRPr="000F3554">
              <w:rPr>
                <w:highlight w:val="yellow"/>
              </w:rPr>
              <w:t>80</w:t>
            </w:r>
          </w:p>
        </w:tc>
        <w:tc>
          <w:tcPr>
            <w:tcW w:w="1000" w:type="dxa"/>
            <w:tcBorders>
              <w:top w:val="none" w:sz="0" w:space="0" w:color="FFFFFF"/>
              <w:left w:val="none" w:sz="0" w:space="0" w:color="FFFFFF"/>
              <w:bottom w:val="single" w:sz="4" w:space="0" w:color="000000"/>
              <w:right w:val="none" w:sz="0" w:space="0" w:color="FFFFFF"/>
            </w:tcBorders>
            <w:tcMar>
              <w:top w:w="60" w:type="dxa"/>
              <w:left w:w="100" w:type="dxa"/>
              <w:bottom w:w="60" w:type="dxa"/>
              <w:right w:w="100" w:type="dxa"/>
            </w:tcMar>
            <w:vAlign w:val="center"/>
          </w:tcPr>
          <w:p w14:paraId="1E6A5EDB" w14:textId="77777777" w:rsidR="001A4A8D" w:rsidRPr="000F3554" w:rsidRDefault="007141C1">
            <w:pPr>
              <w:jc w:val="center"/>
              <w:rPr>
                <w:highlight w:val="yellow"/>
              </w:rPr>
            </w:pPr>
            <w:r w:rsidRPr="000F3554">
              <w:rPr>
                <w:highlight w:val="yellow"/>
              </w:rPr>
              <w:t>—</w:t>
            </w:r>
          </w:p>
        </w:tc>
        <w:tc>
          <w:tcPr>
            <w:tcW w:w="1000" w:type="dxa"/>
            <w:tcBorders>
              <w:top w:val="none" w:sz="0" w:space="0" w:color="FFFFFF"/>
              <w:left w:val="none" w:sz="0" w:space="0" w:color="FFFFFF"/>
              <w:bottom w:val="single" w:sz="4" w:space="0" w:color="000000"/>
              <w:right w:val="none" w:sz="0" w:space="0" w:color="FFFFFF"/>
            </w:tcBorders>
            <w:tcMar>
              <w:top w:w="60" w:type="dxa"/>
              <w:left w:w="100" w:type="dxa"/>
              <w:bottom w:w="60" w:type="dxa"/>
              <w:right w:w="100" w:type="dxa"/>
            </w:tcMar>
            <w:vAlign w:val="center"/>
          </w:tcPr>
          <w:p w14:paraId="71C5A93C" w14:textId="77777777" w:rsidR="001A4A8D" w:rsidRPr="000F3554" w:rsidRDefault="007141C1">
            <w:pPr>
              <w:jc w:val="center"/>
              <w:rPr>
                <w:highlight w:val="yellow"/>
              </w:rPr>
            </w:pPr>
            <w:r w:rsidRPr="000F3554">
              <w:rPr>
                <w:highlight w:val="yellow"/>
              </w:rPr>
              <w:t>—</w:t>
            </w:r>
          </w:p>
        </w:tc>
        <w:tc>
          <w:tcPr>
            <w:tcW w:w="1000" w:type="dxa"/>
            <w:tcBorders>
              <w:top w:val="none" w:sz="0" w:space="0" w:color="FFFFFF"/>
              <w:left w:val="none" w:sz="0" w:space="0" w:color="FFFFFF"/>
              <w:bottom w:val="single" w:sz="4" w:space="0" w:color="000000"/>
              <w:right w:val="none" w:sz="0" w:space="0" w:color="FFFFFF"/>
            </w:tcBorders>
            <w:tcMar>
              <w:top w:w="60" w:type="dxa"/>
              <w:left w:w="100" w:type="dxa"/>
              <w:bottom w:w="60" w:type="dxa"/>
              <w:right w:w="100" w:type="dxa"/>
            </w:tcMar>
            <w:vAlign w:val="center"/>
          </w:tcPr>
          <w:p w14:paraId="46FA640C" w14:textId="77777777" w:rsidR="001A4A8D" w:rsidRPr="000F3554" w:rsidRDefault="007141C1">
            <w:pPr>
              <w:jc w:val="center"/>
              <w:rPr>
                <w:highlight w:val="yellow"/>
              </w:rPr>
            </w:pPr>
            <w:r w:rsidRPr="000F3554">
              <w:rPr>
                <w:highlight w:val="yellow"/>
              </w:rPr>
              <w:t>—</w:t>
            </w:r>
          </w:p>
        </w:tc>
        <w:tc>
          <w:tcPr>
            <w:tcW w:w="1200" w:type="dxa"/>
            <w:tcBorders>
              <w:top w:val="none" w:sz="0" w:space="0" w:color="FFFFFF"/>
              <w:left w:val="none" w:sz="0" w:space="0" w:color="FFFFFF"/>
              <w:bottom w:val="single" w:sz="4" w:space="0" w:color="000000"/>
              <w:right w:val="none" w:sz="0" w:space="0" w:color="FFFFFF"/>
            </w:tcBorders>
            <w:tcMar>
              <w:top w:w="60" w:type="dxa"/>
              <w:left w:w="100" w:type="dxa"/>
              <w:bottom w:w="60" w:type="dxa"/>
              <w:right w:w="100" w:type="dxa"/>
            </w:tcMar>
            <w:vAlign w:val="center"/>
          </w:tcPr>
          <w:p w14:paraId="0EDD06F1" w14:textId="77777777" w:rsidR="001A4A8D" w:rsidRPr="000F3554" w:rsidRDefault="007141C1">
            <w:pPr>
              <w:jc w:val="center"/>
              <w:rPr>
                <w:highlight w:val="yellow"/>
              </w:rPr>
            </w:pPr>
            <w:r w:rsidRPr="000F3554">
              <w:rPr>
                <w:highlight w:val="yellow"/>
              </w:rPr>
              <w:t>—</w:t>
            </w:r>
          </w:p>
        </w:tc>
      </w:tr>
    </w:tbl>
    <w:p w14:paraId="0BDBF755" w14:textId="77777777" w:rsidR="001A4A8D" w:rsidRDefault="007141C1">
      <w:pPr>
        <w:spacing w:before="60"/>
      </w:pPr>
      <w:r w:rsidRPr="000F3554">
        <w:rPr>
          <w:i/>
          <w:iCs/>
          <w:highlight w:val="yellow"/>
        </w:rPr>
        <w:t>Nota.</w:t>
      </w:r>
      <w:r w:rsidRPr="000F3554">
        <w:rPr>
          <w:highlight w:val="yellow"/>
        </w:rPr>
        <w:t xml:space="preserve"> </w:t>
      </w:r>
      <w:r w:rsidRPr="000F3554">
        <w:rPr>
          <w:i/>
          <w:iCs/>
          <w:highlight w:val="yellow"/>
        </w:rPr>
        <w:t>N</w:t>
      </w:r>
      <w:r w:rsidRPr="000F3554">
        <w:rPr>
          <w:highlight w:val="yellow"/>
        </w:rPr>
        <w:t xml:space="preserve"> = 86. SC = suma de cuadrados; η²ₚ = eta cuadrado parcial. Criterios de magnitud según Cohen (1992): pequeño ≥ .01; mediano ≥ .06; grande ≥ .14.</w:t>
      </w:r>
    </w:p>
    <w:p w14:paraId="10AC3912" w14:textId="77777777" w:rsidR="001A4A8D" w:rsidRDefault="001A4A8D"/>
    <w:p w14:paraId="3A161C11" w14:textId="77777777" w:rsidR="001A4A8D" w:rsidRDefault="007141C1">
      <w:pPr>
        <w:ind w:firstLine="720"/>
        <w:jc w:val="both"/>
      </w:pPr>
      <w:r>
        <w:t xml:space="preserve">El efecto principal de la generación no alcanzó significación, </w:t>
      </w:r>
      <w:proofErr w:type="gramStart"/>
      <w:r w:rsidRPr="000F3554">
        <w:rPr>
          <w:i/>
          <w:iCs/>
          <w:highlight w:val="yellow"/>
        </w:rPr>
        <w:t>F</w:t>
      </w:r>
      <w:r w:rsidRPr="000F3554">
        <w:rPr>
          <w:highlight w:val="yellow"/>
        </w:rPr>
        <w:t>(</w:t>
      </w:r>
      <w:proofErr w:type="gramEnd"/>
      <w:r w:rsidRPr="000F3554">
        <w:rPr>
          <w:highlight w:val="yellow"/>
        </w:rPr>
        <w:t xml:space="preserve">2, 80) = 2.29, </w:t>
      </w:r>
      <w:r w:rsidRPr="000F3554">
        <w:rPr>
          <w:i/>
          <w:iCs/>
          <w:highlight w:val="yellow"/>
        </w:rPr>
        <w:t>p</w:t>
      </w:r>
      <w:r w:rsidRPr="000F3554">
        <w:rPr>
          <w:highlight w:val="yellow"/>
        </w:rPr>
        <w:t xml:space="preserve"> = .108, η²ₚ = .054.</w:t>
      </w:r>
      <w:r>
        <w:t xml:space="preserve"> El efecto principal del uso de RRSS tampoco resultó significativo, </w:t>
      </w:r>
      <w:proofErr w:type="gramStart"/>
      <w:r w:rsidRPr="000F3554">
        <w:rPr>
          <w:i/>
          <w:iCs/>
          <w:highlight w:val="yellow"/>
        </w:rPr>
        <w:t>F</w:t>
      </w:r>
      <w:r w:rsidRPr="000F3554">
        <w:rPr>
          <w:highlight w:val="yellow"/>
        </w:rPr>
        <w:t>(</w:t>
      </w:r>
      <w:proofErr w:type="gramEnd"/>
      <w:r w:rsidRPr="000F3554">
        <w:rPr>
          <w:highlight w:val="yellow"/>
        </w:rPr>
        <w:t xml:space="preserve">1, 80) = 0.28, </w:t>
      </w:r>
      <w:r w:rsidRPr="000F3554">
        <w:rPr>
          <w:i/>
          <w:iCs/>
          <w:highlight w:val="yellow"/>
        </w:rPr>
        <w:t>p</w:t>
      </w:r>
      <w:r w:rsidRPr="000F3554">
        <w:rPr>
          <w:highlight w:val="yellow"/>
        </w:rPr>
        <w:t xml:space="preserve"> = .599, η²ₚ = .003.</w:t>
      </w:r>
      <w:r>
        <w:t xml:space="preserve"> El efecto de interacción Generación × Uso no fue significativo, </w:t>
      </w:r>
      <w:proofErr w:type="gramStart"/>
      <w:r w:rsidRPr="000F3554">
        <w:rPr>
          <w:i/>
          <w:iCs/>
          <w:highlight w:val="yellow"/>
        </w:rPr>
        <w:t>F</w:t>
      </w:r>
      <w:r w:rsidRPr="000F3554">
        <w:rPr>
          <w:highlight w:val="yellow"/>
        </w:rPr>
        <w:t>(</w:t>
      </w:r>
      <w:proofErr w:type="gramEnd"/>
      <w:r w:rsidRPr="000F3554">
        <w:rPr>
          <w:highlight w:val="yellow"/>
        </w:rPr>
        <w:t xml:space="preserve">2, 80) = 0.68, </w:t>
      </w:r>
      <w:r w:rsidRPr="000F3554">
        <w:rPr>
          <w:i/>
          <w:iCs/>
          <w:highlight w:val="yellow"/>
        </w:rPr>
        <w:t>p</w:t>
      </w:r>
      <w:r w:rsidRPr="000F3554">
        <w:rPr>
          <w:highlight w:val="yellow"/>
        </w:rPr>
        <w:t xml:space="preserve"> = .509, η²ₚ = .017.</w:t>
      </w:r>
    </w:p>
    <w:p w14:paraId="7D3F7850" w14:textId="77777777" w:rsidR="001A4A8D" w:rsidRDefault="007141C1">
      <w:pPr>
        <w:spacing w:before="180" w:after="80"/>
      </w:pPr>
      <w:r>
        <w:rPr>
          <w:b/>
          <w:bCs/>
        </w:rPr>
        <w:t>Comparaciones por pares</w:t>
      </w:r>
    </w:p>
    <w:p w14:paraId="06F7817D" w14:textId="77777777" w:rsidR="001A4A8D" w:rsidRDefault="007141C1">
      <w:pPr>
        <w:ind w:firstLine="720"/>
        <w:jc w:val="both"/>
      </w:pPr>
      <w:r>
        <w:t xml:space="preserve">Aun cuando el efecto principal de la generación no alcanzó significación estadística, se realizaron comparaciones por pares mediante la prueba de Tukey HSD con fines exploratorios. La comparación entre Generación Z y </w:t>
      </w:r>
      <w:proofErr w:type="spellStart"/>
      <w:r>
        <w:t>Millennials</w:t>
      </w:r>
      <w:proofErr w:type="spellEnd"/>
      <w:r>
        <w:t xml:space="preserve"> arrojó una diferencia de medias de 2.04 puntos a favor de Generación Z (</w:t>
      </w:r>
      <w:r>
        <w:rPr>
          <w:i/>
          <w:iCs/>
        </w:rPr>
        <w:t>p</w:t>
      </w:r>
      <w:r>
        <w:t xml:space="preserve"> = .145, </w:t>
      </w:r>
      <w:r w:rsidRPr="000F3554">
        <w:rPr>
          <w:highlight w:val="yellow"/>
        </w:rPr>
        <w:t>IC95% [−0.52, 4.60]).</w:t>
      </w:r>
      <w:r>
        <w:t xml:space="preserve"> Las restantes comparaciones (Generación X vs. Generación Z: </w:t>
      </w:r>
      <w:r w:rsidRPr="000F3554">
        <w:rPr>
          <w:highlight w:val="yellow"/>
        </w:rPr>
        <w:t>Δ</w:t>
      </w:r>
      <w:r w:rsidRPr="000F3554">
        <w:rPr>
          <w:i/>
          <w:iCs/>
          <w:highlight w:val="yellow"/>
        </w:rPr>
        <w:t>M</w:t>
      </w:r>
      <w:r w:rsidRPr="000F3554">
        <w:rPr>
          <w:highlight w:val="yellow"/>
        </w:rPr>
        <w:t xml:space="preserve"> = 0.47, </w:t>
      </w:r>
      <w:r w:rsidRPr="000F3554">
        <w:rPr>
          <w:i/>
          <w:iCs/>
          <w:highlight w:val="yellow"/>
        </w:rPr>
        <w:t>p</w:t>
      </w:r>
      <w:r w:rsidRPr="000F3554">
        <w:rPr>
          <w:highlight w:val="yellow"/>
        </w:rPr>
        <w:t xml:space="preserve"> = .949;</w:t>
      </w:r>
      <w:r>
        <w:t xml:space="preserve"> Generación X vs. </w:t>
      </w:r>
      <w:proofErr w:type="spellStart"/>
      <w:r>
        <w:t>Millennials</w:t>
      </w:r>
      <w:proofErr w:type="spellEnd"/>
      <w:r w:rsidRPr="000F3554">
        <w:rPr>
          <w:highlight w:val="yellow"/>
        </w:rPr>
        <w:t>: Δ</w:t>
      </w:r>
      <w:r w:rsidRPr="000F3554">
        <w:rPr>
          <w:i/>
          <w:iCs/>
          <w:highlight w:val="yellow"/>
        </w:rPr>
        <w:t>M</w:t>
      </w:r>
      <w:r w:rsidRPr="000F3554">
        <w:rPr>
          <w:highlight w:val="yellow"/>
        </w:rPr>
        <w:t xml:space="preserve"> = −1.57, </w:t>
      </w:r>
      <w:r w:rsidRPr="000F3554">
        <w:rPr>
          <w:i/>
          <w:iCs/>
          <w:highlight w:val="yellow"/>
        </w:rPr>
        <w:t>p</w:t>
      </w:r>
      <w:r w:rsidRPr="000F3554">
        <w:rPr>
          <w:highlight w:val="yellow"/>
        </w:rPr>
        <w:t xml:space="preserve"> = .566</w:t>
      </w:r>
      <w:r>
        <w:t>) no mostraron diferencias relevantes.</w:t>
      </w:r>
    </w:p>
    <w:p w14:paraId="602F4597" w14:textId="77777777" w:rsidR="001A4A8D" w:rsidRDefault="007141C1">
      <w:pPr>
        <w:ind w:firstLine="720"/>
        <w:jc w:val="both"/>
      </w:pPr>
      <w:r>
        <w:t xml:space="preserve">Las medias marginales por generación fueron: Generación Z, </w:t>
      </w:r>
      <w:r>
        <w:rPr>
          <w:i/>
          <w:iCs/>
        </w:rPr>
        <w:t>M</w:t>
      </w:r>
      <w:r>
        <w:t xml:space="preserve"> = 8.38 (</w:t>
      </w:r>
      <w:r w:rsidRPr="000F3554">
        <w:rPr>
          <w:i/>
          <w:iCs/>
          <w:highlight w:val="yellow"/>
        </w:rPr>
        <w:t>EE</w:t>
      </w:r>
      <w:r w:rsidRPr="000F3554">
        <w:rPr>
          <w:highlight w:val="yellow"/>
        </w:rPr>
        <w:t xml:space="preserve"> = 0.75, IC95% [6.91, 9.86]);</w:t>
      </w:r>
      <w:r>
        <w:t xml:space="preserve"> </w:t>
      </w:r>
      <w:proofErr w:type="spellStart"/>
      <w:r>
        <w:t>Millennials</w:t>
      </w:r>
      <w:proofErr w:type="spellEnd"/>
      <w:r>
        <w:t xml:space="preserve">, </w:t>
      </w:r>
      <w:r>
        <w:rPr>
          <w:i/>
          <w:iCs/>
        </w:rPr>
        <w:t>M</w:t>
      </w:r>
      <w:r>
        <w:t xml:space="preserve"> = 6.34 </w:t>
      </w:r>
      <w:r w:rsidRPr="000F3554">
        <w:rPr>
          <w:highlight w:val="yellow"/>
        </w:rPr>
        <w:t>(</w:t>
      </w:r>
      <w:r w:rsidRPr="000F3554">
        <w:rPr>
          <w:i/>
          <w:iCs/>
          <w:highlight w:val="yellow"/>
        </w:rPr>
        <w:t>EE</w:t>
      </w:r>
      <w:r w:rsidRPr="000F3554">
        <w:rPr>
          <w:highlight w:val="yellow"/>
        </w:rPr>
        <w:t xml:space="preserve"> = 0.67, IC95% [5.03, 7.66]);</w:t>
      </w:r>
      <w:r>
        <w:t xml:space="preserve"> Generación X, </w:t>
      </w:r>
      <w:r>
        <w:rPr>
          <w:i/>
          <w:iCs/>
        </w:rPr>
        <w:t>M</w:t>
      </w:r>
      <w:r>
        <w:t xml:space="preserve"> = 7.</w:t>
      </w:r>
      <w:r w:rsidRPr="000F3554">
        <w:rPr>
          <w:highlight w:val="yellow"/>
        </w:rPr>
        <w:t>92 (</w:t>
      </w:r>
      <w:r w:rsidRPr="000F3554">
        <w:rPr>
          <w:i/>
          <w:iCs/>
          <w:highlight w:val="yellow"/>
        </w:rPr>
        <w:t>EE</w:t>
      </w:r>
      <w:r w:rsidRPr="000F3554">
        <w:rPr>
          <w:highlight w:val="yellow"/>
        </w:rPr>
        <w:t xml:space="preserve"> = 1.70, IC95% [4.58, 11.25]).</w:t>
      </w:r>
      <w:r>
        <w:t xml:space="preserve"> Las medias marginales por uso de RRSS fueron: bajo uso, </w:t>
      </w:r>
      <w:r>
        <w:rPr>
          <w:i/>
          <w:iCs/>
        </w:rPr>
        <w:t>M</w:t>
      </w:r>
      <w:r>
        <w:t xml:space="preserve"> = 7.11 </w:t>
      </w:r>
      <w:r w:rsidRPr="000F3554">
        <w:rPr>
          <w:highlight w:val="yellow"/>
        </w:rPr>
        <w:t>(</w:t>
      </w:r>
      <w:r w:rsidRPr="000F3554">
        <w:rPr>
          <w:i/>
          <w:iCs/>
          <w:highlight w:val="yellow"/>
        </w:rPr>
        <w:t>EE</w:t>
      </w:r>
      <w:r w:rsidRPr="000F3554">
        <w:rPr>
          <w:highlight w:val="yellow"/>
        </w:rPr>
        <w:t xml:space="preserve"> = 0.90, IC95% [5.34, 8.87]);</w:t>
      </w:r>
      <w:r>
        <w:t xml:space="preserve"> alto uso, </w:t>
      </w:r>
      <w:r>
        <w:rPr>
          <w:i/>
          <w:iCs/>
        </w:rPr>
        <w:t>M</w:t>
      </w:r>
      <w:r>
        <w:t xml:space="preserve"> = 7.79 </w:t>
      </w:r>
      <w:r w:rsidRPr="000F3554">
        <w:rPr>
          <w:highlight w:val="yellow"/>
        </w:rPr>
        <w:t>(</w:t>
      </w:r>
      <w:r w:rsidRPr="000F3554">
        <w:rPr>
          <w:i/>
          <w:iCs/>
          <w:highlight w:val="yellow"/>
        </w:rPr>
        <w:t>EE</w:t>
      </w:r>
      <w:r w:rsidRPr="000F3554">
        <w:rPr>
          <w:highlight w:val="yellow"/>
        </w:rPr>
        <w:t xml:space="preserve"> = 0.55, IC95% [6.71, 8.88]).</w:t>
      </w:r>
      <w:r>
        <w:t xml:space="preserve"> La Figura 1 ilustra el patrón de interacción descriptivo entre ambos factores.</w:t>
      </w:r>
    </w:p>
    <w:p w14:paraId="108DA001" w14:textId="77777777" w:rsidR="001A4A8D" w:rsidRDefault="001A4A8D">
      <w:pPr>
        <w:pageBreakBefore/>
      </w:pPr>
    </w:p>
    <w:p w14:paraId="243FFA4A" w14:textId="77777777" w:rsidR="001A4A8D" w:rsidRPr="000F3554" w:rsidRDefault="007141C1">
      <w:pPr>
        <w:rPr>
          <w:highlight w:val="yellow"/>
        </w:rPr>
      </w:pPr>
      <w:r w:rsidRPr="000F3554">
        <w:rPr>
          <w:b/>
          <w:bCs/>
          <w:highlight w:val="yellow"/>
        </w:rPr>
        <w:t>Figura 1</w:t>
      </w:r>
    </w:p>
    <w:p w14:paraId="4571BE00" w14:textId="77777777" w:rsidR="001A4A8D" w:rsidRDefault="007141C1">
      <w:pPr>
        <w:spacing w:after="120"/>
      </w:pPr>
      <w:r w:rsidRPr="000F3554">
        <w:rPr>
          <w:i/>
          <w:iCs/>
          <w:highlight w:val="yellow"/>
        </w:rPr>
        <w:t>Interacción entre Generación y Uso de Redes Sociales sobre la Preocupación Social Ansiosa (ASI-3)</w:t>
      </w:r>
    </w:p>
    <w:p w14:paraId="3792ED07" w14:textId="77777777" w:rsidR="001A4A8D" w:rsidRDefault="007141C1">
      <w:pPr>
        <w:spacing w:after="80"/>
        <w:jc w:val="center"/>
      </w:pPr>
      <w:r>
        <w:rPr>
          <w:noProof/>
        </w:rPr>
        <w:drawing>
          <wp:inline distT="0" distB="0" distL="0" distR="0" wp14:anchorId="7DF2C5FC" wp14:editId="65A2435D">
            <wp:extent cx="4762500" cy="262890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762500" cy="2628900"/>
                    </a:xfrm>
                    <a:prstGeom prst="rect">
                      <a:avLst/>
                    </a:prstGeom>
                  </pic:spPr>
                </pic:pic>
              </a:graphicData>
            </a:graphic>
          </wp:inline>
        </w:drawing>
      </w:r>
    </w:p>
    <w:p w14:paraId="1A9BF605" w14:textId="77777777" w:rsidR="001A4A8D" w:rsidRDefault="007141C1">
      <w:r w:rsidRPr="000F3554">
        <w:rPr>
          <w:i/>
          <w:iCs/>
          <w:highlight w:val="yellow"/>
        </w:rPr>
        <w:t>Nota.</w:t>
      </w:r>
      <w:r w:rsidRPr="000F3554">
        <w:rPr>
          <w:highlight w:val="yellow"/>
        </w:rPr>
        <w:t xml:space="preserve"> Las barras representan el error estándar de la media. Los valores entre paréntesis indican el tamaño muestral por celda. La celda Generación X · Alto uso presenta un </w:t>
      </w:r>
      <w:r w:rsidRPr="000F3554">
        <w:rPr>
          <w:i/>
          <w:iCs/>
          <w:highlight w:val="yellow"/>
        </w:rPr>
        <w:t>n</w:t>
      </w:r>
      <w:r w:rsidRPr="000F3554">
        <w:rPr>
          <w:highlight w:val="yellow"/>
        </w:rPr>
        <w:t xml:space="preserve"> = 2, por lo cual su estimación debe interpretarse con cautela.</w:t>
      </w:r>
    </w:p>
    <w:p w14:paraId="6C39D470" w14:textId="77777777" w:rsidR="001A4A8D" w:rsidRDefault="007141C1">
      <w:pPr>
        <w:spacing w:before="240" w:after="120"/>
        <w:jc w:val="center"/>
      </w:pPr>
      <w:r>
        <w:rPr>
          <w:b/>
          <w:bCs/>
        </w:rPr>
        <w:t>Discusión</w:t>
      </w:r>
    </w:p>
    <w:p w14:paraId="0197B67E" w14:textId="47F33083" w:rsidR="001A4A8D" w:rsidRDefault="007141C1">
      <w:pPr>
        <w:ind w:firstLine="720"/>
        <w:jc w:val="both"/>
      </w:pPr>
      <w:r>
        <w:t xml:space="preserve">El presente estudio se propuso examinar el efecto del consumo de redes sociales (RRSS) y la pertenencia generacional sobre la preocupación social ansiosa, evaluada mediante la subescala social del ASI-3 (Sandín et al., 2007), así como evaluar si la generación moderaba la asociación entre uso de RRSS y preocupación social. Para ello se aplicó un análisis de varianza factorial 3 × 2 </w:t>
      </w:r>
      <w:proofErr w:type="spellStart"/>
      <w:r>
        <w:t>entre-sujetos</w:t>
      </w:r>
      <w:proofErr w:type="spellEnd"/>
      <w:r>
        <w:t xml:space="preserve"> en una muestra comunitaria de adultos residentes del Área Metropolitana de Buenos Aires (</w:t>
      </w:r>
      <w:r>
        <w:rPr>
          <w:i/>
          <w:iCs/>
        </w:rPr>
        <w:t>N</w:t>
      </w:r>
      <w:r>
        <w:t xml:space="preserve"> = 86). A </w:t>
      </w:r>
      <w:r w:rsidR="008037A1">
        <w:t>continuación,</w:t>
      </w:r>
      <w:r>
        <w:t xml:space="preserve"> se discuten los hallazgos en relación con las hipótesis formuladas y la literatura previa.</w:t>
      </w:r>
    </w:p>
    <w:p w14:paraId="34409F2B" w14:textId="77777777" w:rsidR="001A4A8D" w:rsidRDefault="007141C1">
      <w:pPr>
        <w:spacing w:before="140" w:after="60"/>
      </w:pPr>
      <w:r>
        <w:rPr>
          <w:b/>
          <w:bCs/>
          <w:i/>
          <w:iCs/>
        </w:rPr>
        <w:t>Hipótesis 1: efecto del uso de RRSS</w:t>
      </w:r>
    </w:p>
    <w:p w14:paraId="2E271295" w14:textId="77777777" w:rsidR="001A4A8D" w:rsidRDefault="007141C1">
      <w:pPr>
        <w:ind w:firstLine="720"/>
        <w:jc w:val="both"/>
      </w:pPr>
      <w:r>
        <w:t xml:space="preserve">La H1 planteaba que los participantes con alto uso de RRSS (&gt;2 h/día) presentarían mayor preocupación social ansiosa que aquellos con bajo uso. Los resultados no permiten rechazar la hipótesis nula: el efecto principal del uso resultó no significativo, </w:t>
      </w:r>
      <w:proofErr w:type="gramStart"/>
      <w:r w:rsidRPr="008037A1">
        <w:rPr>
          <w:i/>
          <w:iCs/>
          <w:highlight w:val="yellow"/>
        </w:rPr>
        <w:t>F</w:t>
      </w:r>
      <w:r w:rsidRPr="008037A1">
        <w:rPr>
          <w:highlight w:val="yellow"/>
        </w:rPr>
        <w:t>(</w:t>
      </w:r>
      <w:proofErr w:type="gramEnd"/>
      <w:r w:rsidRPr="008037A1">
        <w:rPr>
          <w:highlight w:val="yellow"/>
        </w:rPr>
        <w:t xml:space="preserve">1, 80) = 0.28, </w:t>
      </w:r>
      <w:r w:rsidRPr="008037A1">
        <w:rPr>
          <w:i/>
          <w:iCs/>
          <w:highlight w:val="yellow"/>
        </w:rPr>
        <w:t>p</w:t>
      </w:r>
      <w:r w:rsidRPr="008037A1">
        <w:rPr>
          <w:highlight w:val="yellow"/>
        </w:rPr>
        <w:t xml:space="preserve"> = .599, η²ₚ = .003,</w:t>
      </w:r>
      <w:r>
        <w:t xml:space="preserve"> con una </w:t>
      </w:r>
      <w:r w:rsidRPr="008037A1">
        <w:rPr>
          <w:highlight w:val="yellow"/>
        </w:rPr>
        <w:t xml:space="preserve">diferencia mínima entre medias marginales (bajo uso: </w:t>
      </w:r>
      <w:r w:rsidRPr="008037A1">
        <w:rPr>
          <w:i/>
          <w:iCs/>
          <w:highlight w:val="yellow"/>
        </w:rPr>
        <w:t>M</w:t>
      </w:r>
      <w:r w:rsidRPr="008037A1">
        <w:rPr>
          <w:highlight w:val="yellow"/>
        </w:rPr>
        <w:t xml:space="preserve"> = 7.11; alto uso: </w:t>
      </w:r>
      <w:r w:rsidRPr="008037A1">
        <w:rPr>
          <w:i/>
          <w:iCs/>
          <w:highlight w:val="yellow"/>
        </w:rPr>
        <w:t>M</w:t>
      </w:r>
      <w:r w:rsidRPr="008037A1">
        <w:rPr>
          <w:highlight w:val="yellow"/>
        </w:rPr>
        <w:t xml:space="preserve"> = 7.79).</w:t>
      </w:r>
      <w:r>
        <w:t xml:space="preserve"> Por lo tanto, </w:t>
      </w:r>
      <w:r w:rsidRPr="008037A1">
        <w:rPr>
          <w:b/>
          <w:bCs/>
        </w:rPr>
        <w:t>H1 no se confirma</w:t>
      </w:r>
      <w:r>
        <w:t>.</w:t>
      </w:r>
    </w:p>
    <w:p w14:paraId="2C00BAEE" w14:textId="1002C9A8" w:rsidR="001A4A8D" w:rsidRDefault="007141C1">
      <w:pPr>
        <w:ind w:firstLine="720"/>
        <w:jc w:val="both"/>
      </w:pPr>
      <w:r>
        <w:t xml:space="preserve">Este resultado contrasta con la literatura epidemiológica de gran escala que ha documentado asociaciones significativas entre consumo intensivo de RRSS y síntomas </w:t>
      </w:r>
      <w:proofErr w:type="spellStart"/>
      <w:r>
        <w:t>internalizantes</w:t>
      </w:r>
      <w:proofErr w:type="spellEnd"/>
      <w:r>
        <w:t xml:space="preserve">, particularmente el estudio longitudinal de </w:t>
      </w:r>
      <w:proofErr w:type="spellStart"/>
      <w:r>
        <w:t>Riehm</w:t>
      </w:r>
      <w:proofErr w:type="spellEnd"/>
      <w:r>
        <w:t xml:space="preserve"> et al. (2019) sobre 6.595 adolescentes estadounidenses. Sin embargo, varias consideraciones merecen señalarse. Primero, el </w:t>
      </w:r>
      <w:proofErr w:type="gramStart"/>
      <w:r>
        <w:t>meta-análisis</w:t>
      </w:r>
      <w:proofErr w:type="gramEnd"/>
      <w:r>
        <w:t xml:space="preserve"> reciente de Cataldo et al. (2025) sobre 51 estudios y más de 680.000 participantes encontró que el uso excesivo de RRSS no mostró asociación significativa con bienestar subjetivo, sugiriendo que la magnitud del efecto en muestras adultas comunitarias es mucho menor que en adolescentes. Segundo, los estudios experimentales controlados también han reportado tamaños </w:t>
      </w:r>
      <w:r>
        <w:lastRenderedPageBreak/>
        <w:t>de efecto modestos y, ocasionalmente, hallazgos nulos (</w:t>
      </w:r>
      <w:proofErr w:type="spellStart"/>
      <w:r>
        <w:t>Hilte</w:t>
      </w:r>
      <w:proofErr w:type="spellEnd"/>
      <w:r>
        <w:t xml:space="preserve"> et al., 2025), atribuibles en parte a la dificultad metodológica de capturar mediante autoinforme la complejidad cualitativa del uso digital.</w:t>
      </w:r>
    </w:p>
    <w:p w14:paraId="331001A9" w14:textId="77777777" w:rsidR="001A4A8D" w:rsidRDefault="007141C1">
      <w:pPr>
        <w:spacing w:before="140" w:after="60"/>
      </w:pPr>
      <w:r>
        <w:rPr>
          <w:b/>
          <w:bCs/>
          <w:i/>
          <w:iCs/>
        </w:rPr>
        <w:t>Hipótesis 2: efecto de la generación</w:t>
      </w:r>
    </w:p>
    <w:p w14:paraId="081C6D47" w14:textId="77777777" w:rsidR="001A4A8D" w:rsidRDefault="007141C1">
      <w:pPr>
        <w:ind w:firstLine="720"/>
        <w:jc w:val="both"/>
      </w:pPr>
      <w:r>
        <w:t xml:space="preserve">La H2 anticipaba diferencias significativas en preocupación social entre las cohortes generacionales, con valores más altos en cohortes jóvenes. Los resultados muestran un efecto principal no significativo aunque con tendencia descriptiva, </w:t>
      </w:r>
      <w:proofErr w:type="gramStart"/>
      <w:r w:rsidRPr="008037A1">
        <w:rPr>
          <w:i/>
          <w:iCs/>
          <w:highlight w:val="yellow"/>
        </w:rPr>
        <w:t>F</w:t>
      </w:r>
      <w:r w:rsidRPr="008037A1">
        <w:rPr>
          <w:highlight w:val="yellow"/>
        </w:rPr>
        <w:t>(</w:t>
      </w:r>
      <w:proofErr w:type="gramEnd"/>
      <w:r w:rsidRPr="008037A1">
        <w:rPr>
          <w:highlight w:val="yellow"/>
        </w:rPr>
        <w:t xml:space="preserve">2, 80) = 2.29, </w:t>
      </w:r>
      <w:r w:rsidRPr="008037A1">
        <w:rPr>
          <w:i/>
          <w:iCs/>
          <w:highlight w:val="yellow"/>
        </w:rPr>
        <w:t>p</w:t>
      </w:r>
      <w:r w:rsidRPr="008037A1">
        <w:rPr>
          <w:highlight w:val="yellow"/>
        </w:rPr>
        <w:t xml:space="preserve"> = .108, η²ₚ = .054</w:t>
      </w:r>
      <w:r>
        <w:t xml:space="preserve">. </w:t>
      </w:r>
      <w:r w:rsidRPr="008037A1">
        <w:rPr>
          <w:b/>
          <w:bCs/>
        </w:rPr>
        <w:t>H2 no se confirma estadísticamente</w:t>
      </w:r>
      <w:r>
        <w:t xml:space="preserve">, </w:t>
      </w:r>
      <w:r w:rsidRPr="008037A1">
        <w:rPr>
          <w:highlight w:val="yellow"/>
        </w:rPr>
        <w:t>aunque el tamaño del efecto se ubica en el límite inferior de la categoría “mediano” según Cohen (1992).</w:t>
      </w:r>
    </w:p>
    <w:p w14:paraId="4598F374" w14:textId="77777777" w:rsidR="001A4A8D" w:rsidRDefault="007141C1">
      <w:pPr>
        <w:ind w:firstLine="720"/>
        <w:jc w:val="both"/>
      </w:pPr>
      <w:r>
        <w:t>Es relevante observar la dirección descriptiva de las medias: la Generación Z presentó la media más alta (</w:t>
      </w:r>
      <w:r>
        <w:rPr>
          <w:i/>
          <w:iCs/>
        </w:rPr>
        <w:t>M</w:t>
      </w:r>
      <w:r>
        <w:t xml:space="preserve"> = 8.38), seguida por la Generación X (</w:t>
      </w:r>
      <w:r>
        <w:rPr>
          <w:i/>
          <w:iCs/>
        </w:rPr>
        <w:t>M</w:t>
      </w:r>
      <w:r>
        <w:t xml:space="preserve"> = 7.92) y los </w:t>
      </w:r>
      <w:proofErr w:type="spellStart"/>
      <w:r>
        <w:t>Millennials</w:t>
      </w:r>
      <w:proofErr w:type="spellEnd"/>
      <w:r>
        <w:t xml:space="preserve"> (</w:t>
      </w:r>
      <w:r>
        <w:rPr>
          <w:i/>
          <w:iCs/>
        </w:rPr>
        <w:t>M</w:t>
      </w:r>
      <w:r>
        <w:t xml:space="preserve"> = 6.34). Esta tendencia es parcialmente coherente con la literatura que identifica a la </w:t>
      </w:r>
      <w:r w:rsidRPr="008037A1">
        <w:rPr>
          <w:b/>
          <w:bCs/>
        </w:rPr>
        <w:t>Generación Z</w:t>
      </w:r>
      <w:r>
        <w:t xml:space="preserve"> como la </w:t>
      </w:r>
      <w:r w:rsidRPr="008037A1">
        <w:rPr>
          <w:b/>
          <w:bCs/>
        </w:rPr>
        <w:t>cohorte con peor salud mental percibida</w:t>
      </w:r>
      <w:r>
        <w:t xml:space="preserve"> (American </w:t>
      </w:r>
      <w:proofErr w:type="spellStart"/>
      <w:r>
        <w:t>Psychological</w:t>
      </w:r>
      <w:proofErr w:type="spellEnd"/>
      <w:r>
        <w:t xml:space="preserve"> </w:t>
      </w:r>
      <w:proofErr w:type="spellStart"/>
      <w:r>
        <w:t>Association</w:t>
      </w:r>
      <w:proofErr w:type="spellEnd"/>
      <w:r>
        <w:t xml:space="preserve">, 2024; </w:t>
      </w:r>
      <w:proofErr w:type="spellStart"/>
      <w:r>
        <w:t>Coe</w:t>
      </w:r>
      <w:proofErr w:type="spellEnd"/>
      <w:r>
        <w:t xml:space="preserve"> et al., 2023), aunque la posición intermedia de Generación X resulta inesperada y podría reflejar tanto la diversidad de su composición etaria como las </w:t>
      </w:r>
      <w:r w:rsidRPr="008037A1">
        <w:rPr>
          <w:b/>
          <w:bCs/>
        </w:rPr>
        <w:t>limitaciones de su tamaño muestral</w:t>
      </w:r>
      <w:r>
        <w:t xml:space="preserve"> (</w:t>
      </w:r>
      <w:r>
        <w:rPr>
          <w:i/>
          <w:iCs/>
        </w:rPr>
        <w:t>n</w:t>
      </w:r>
      <w:r>
        <w:t xml:space="preserve"> = 12). La comparación </w:t>
      </w:r>
      <w:proofErr w:type="spellStart"/>
      <w:r>
        <w:t>post-hoc</w:t>
      </w:r>
      <w:proofErr w:type="spellEnd"/>
      <w:r>
        <w:t xml:space="preserve"> </w:t>
      </w:r>
      <w:r w:rsidRPr="008037A1">
        <w:rPr>
          <w:highlight w:val="yellow"/>
        </w:rPr>
        <w:t xml:space="preserve">Gen Z vs. </w:t>
      </w:r>
      <w:proofErr w:type="spellStart"/>
      <w:r w:rsidRPr="008037A1">
        <w:rPr>
          <w:highlight w:val="yellow"/>
        </w:rPr>
        <w:t>Millennials</w:t>
      </w:r>
      <w:proofErr w:type="spellEnd"/>
      <w:r w:rsidRPr="008037A1">
        <w:rPr>
          <w:highlight w:val="yellow"/>
        </w:rPr>
        <w:t xml:space="preserve"> (Δ</w:t>
      </w:r>
      <w:r w:rsidRPr="008037A1">
        <w:rPr>
          <w:i/>
          <w:iCs/>
          <w:highlight w:val="yellow"/>
        </w:rPr>
        <w:t>M</w:t>
      </w:r>
      <w:r w:rsidRPr="008037A1">
        <w:rPr>
          <w:highlight w:val="yellow"/>
        </w:rPr>
        <w:t xml:space="preserve"> = 2.04 puntos, </w:t>
      </w:r>
      <w:r w:rsidRPr="008037A1">
        <w:rPr>
          <w:i/>
          <w:iCs/>
          <w:highlight w:val="yellow"/>
        </w:rPr>
        <w:t>p</w:t>
      </w:r>
      <w:r w:rsidRPr="008037A1">
        <w:rPr>
          <w:highlight w:val="yellow"/>
        </w:rPr>
        <w:t xml:space="preserve"> = .145)</w:t>
      </w:r>
      <w:r>
        <w:t xml:space="preserve"> se acerca al umbral de significación, sugiriendo que </w:t>
      </w:r>
      <w:r w:rsidRPr="008037A1">
        <w:rPr>
          <w:b/>
          <w:bCs/>
        </w:rPr>
        <w:t>un estudio con mayor potencia podría detectar la diferencia anticipada teóricamente</w:t>
      </w:r>
      <w:r>
        <w:t>.</w:t>
      </w:r>
    </w:p>
    <w:p w14:paraId="17C0833F" w14:textId="77777777" w:rsidR="001A4A8D" w:rsidRDefault="007141C1">
      <w:pPr>
        <w:spacing w:before="140" w:after="60"/>
      </w:pPr>
      <w:r>
        <w:rPr>
          <w:b/>
          <w:bCs/>
          <w:i/>
          <w:iCs/>
        </w:rPr>
        <w:t>Hipótesis 3: interacción Generación × Uso de RRSS</w:t>
      </w:r>
    </w:p>
    <w:p w14:paraId="4F77B871" w14:textId="77777777" w:rsidR="001A4A8D" w:rsidRDefault="007141C1">
      <w:pPr>
        <w:ind w:firstLine="720"/>
        <w:jc w:val="both"/>
      </w:pPr>
      <w:r>
        <w:t xml:space="preserve">La H3 sostenía que el efecto del consumo de RRSS sobre la preocupación social ansiosa estaría moderado por la generación. </w:t>
      </w:r>
      <w:r w:rsidRPr="008037A1">
        <w:rPr>
          <w:highlight w:val="yellow"/>
        </w:rPr>
        <w:t xml:space="preserve">El término de interacción resultó no significativo, </w:t>
      </w:r>
      <w:proofErr w:type="gramStart"/>
      <w:r w:rsidRPr="008037A1">
        <w:rPr>
          <w:i/>
          <w:iCs/>
          <w:highlight w:val="yellow"/>
        </w:rPr>
        <w:t>F</w:t>
      </w:r>
      <w:r w:rsidRPr="008037A1">
        <w:rPr>
          <w:highlight w:val="yellow"/>
        </w:rPr>
        <w:t>(</w:t>
      </w:r>
      <w:proofErr w:type="gramEnd"/>
      <w:r w:rsidRPr="008037A1">
        <w:rPr>
          <w:highlight w:val="yellow"/>
        </w:rPr>
        <w:t xml:space="preserve">2, 80) = 0.68, </w:t>
      </w:r>
      <w:r w:rsidRPr="008037A1">
        <w:rPr>
          <w:i/>
          <w:iCs/>
          <w:highlight w:val="yellow"/>
        </w:rPr>
        <w:t>p</w:t>
      </w:r>
      <w:r w:rsidRPr="008037A1">
        <w:rPr>
          <w:highlight w:val="yellow"/>
        </w:rPr>
        <w:t xml:space="preserve"> = .509, η²ₚ = .017</w:t>
      </w:r>
      <w:r>
        <w:t xml:space="preserve">. Por lo tanto, </w:t>
      </w:r>
      <w:r w:rsidRPr="008037A1">
        <w:rPr>
          <w:b/>
          <w:bCs/>
        </w:rPr>
        <w:t>H3 no se confirma</w:t>
      </w:r>
      <w:r>
        <w:t>.</w:t>
      </w:r>
    </w:p>
    <w:p w14:paraId="3EEB9580" w14:textId="77777777" w:rsidR="001A4A8D" w:rsidRDefault="007141C1">
      <w:pPr>
        <w:ind w:firstLine="720"/>
        <w:jc w:val="both"/>
      </w:pPr>
      <w:r>
        <w:t>No obstante, la inspección descriptiva de la Figura 1 revela un patrón sugerente que merece discusión. Las líneas no son paralelas: en la Generación Z, los participantes con alto uso de RRSS muestran una preocupación social más elevada (</w:t>
      </w:r>
      <w:r>
        <w:rPr>
          <w:i/>
          <w:iCs/>
        </w:rPr>
        <w:t>M</w:t>
      </w:r>
      <w:r>
        <w:t xml:space="preserve"> = 8.86) que aquellos con bajo uso (</w:t>
      </w:r>
      <w:r>
        <w:rPr>
          <w:i/>
          <w:iCs/>
        </w:rPr>
        <w:t>M</w:t>
      </w:r>
      <w:r>
        <w:t xml:space="preserve"> = 7.18), una diferencia de 1.68 puntos en la dirección hipotetizada. En los </w:t>
      </w:r>
      <w:proofErr w:type="spellStart"/>
      <w:r>
        <w:t>Millennials</w:t>
      </w:r>
      <w:proofErr w:type="spellEnd"/>
      <w:r>
        <w:t xml:space="preserve">, en cambio, la dirección se invierte ligeramente (alto uso: </w:t>
      </w:r>
      <w:r>
        <w:rPr>
          <w:i/>
          <w:iCs/>
        </w:rPr>
        <w:t>M</w:t>
      </w:r>
      <w:r>
        <w:t xml:space="preserve"> = 5.94; bajo uso: </w:t>
      </w:r>
      <w:r>
        <w:rPr>
          <w:i/>
          <w:iCs/>
        </w:rPr>
        <w:t>M</w:t>
      </w:r>
      <w:r>
        <w:t xml:space="preserve"> = 6.76). En la Generación X, los dos casos en la celda de alto uso (</w:t>
      </w:r>
      <w:r>
        <w:rPr>
          <w:i/>
          <w:iCs/>
        </w:rPr>
        <w:t>M</w:t>
      </w:r>
      <w:r>
        <w:t xml:space="preserve"> = 9.50) sugieren un efecto positivo, aunque </w:t>
      </w:r>
      <w:r w:rsidRPr="008037A1">
        <w:rPr>
          <w:b/>
          <w:bCs/>
        </w:rPr>
        <w:t xml:space="preserve">la inestabilidad estadística derivada del </w:t>
      </w:r>
      <w:r w:rsidRPr="008037A1">
        <w:rPr>
          <w:b/>
          <w:bCs/>
          <w:i/>
          <w:iCs/>
        </w:rPr>
        <w:t>n</w:t>
      </w:r>
      <w:r w:rsidRPr="008037A1">
        <w:rPr>
          <w:b/>
          <w:bCs/>
        </w:rPr>
        <w:t xml:space="preserve"> = 2 impide cualquier conclusión inferencial</w:t>
      </w:r>
      <w:r>
        <w:t>. Este patrón descriptivo es consistente con la hipótesis socializadora sobre nativos vs. migrantes digitales (</w:t>
      </w:r>
      <w:proofErr w:type="spellStart"/>
      <w:r>
        <w:t>Coe</w:t>
      </w:r>
      <w:proofErr w:type="spellEnd"/>
      <w:r>
        <w:t xml:space="preserve"> et al., 2023; </w:t>
      </w:r>
      <w:proofErr w:type="spellStart"/>
      <w:r>
        <w:t>Thorisdottir</w:t>
      </w:r>
      <w:proofErr w:type="spellEnd"/>
      <w:r>
        <w:t xml:space="preserve"> et al., 2020), pero </w:t>
      </w:r>
      <w:r w:rsidRPr="008037A1">
        <w:rPr>
          <w:b/>
          <w:bCs/>
        </w:rPr>
        <w:t>el diseño no contó con la potencia necesaria para validarlo estadísticamente</w:t>
      </w:r>
      <w:r>
        <w:t>.</w:t>
      </w:r>
    </w:p>
    <w:p w14:paraId="6ED33028" w14:textId="77777777" w:rsidR="001A4A8D" w:rsidRDefault="007141C1">
      <w:pPr>
        <w:spacing w:before="140" w:after="60"/>
      </w:pPr>
      <w:r>
        <w:rPr>
          <w:b/>
          <w:bCs/>
          <w:i/>
          <w:iCs/>
        </w:rPr>
        <w:t>Una lectura desde la lógica del contraste de hipótesis</w:t>
      </w:r>
    </w:p>
    <w:p w14:paraId="36EB5482" w14:textId="77777777" w:rsidR="001A4A8D" w:rsidRDefault="007141C1">
      <w:pPr>
        <w:ind w:firstLine="720"/>
        <w:jc w:val="both"/>
      </w:pPr>
      <w:r>
        <w:t xml:space="preserve">Tres consideraciones ayudan a interpretar estos hallazgos nulos. No rechazar H₀ </w:t>
      </w:r>
      <w:r>
        <w:rPr>
          <w:b/>
          <w:bCs/>
        </w:rPr>
        <w:t>no equivale a aceptarla</w:t>
      </w:r>
      <w:r>
        <w:t xml:space="preserve"> (Botella et al., 2012); los tamaños de efecto observados son consistentes con la literatura reciente, que sitúa la asociación entre uso de RRSS y salud mental en magnitudes pequeñas (Cataldo et al., 2025; </w:t>
      </w:r>
      <w:proofErr w:type="spellStart"/>
      <w:r>
        <w:t>Corke</w:t>
      </w:r>
      <w:proofErr w:type="spellEnd"/>
      <w:r>
        <w:t xml:space="preserve"> et al., 2025); y </w:t>
      </w:r>
      <w:r w:rsidRPr="008037A1">
        <w:rPr>
          <w:b/>
          <w:bCs/>
        </w:rPr>
        <w:t>la potencia muestral del presente diseño resultó limitada para detectar efectos de esa magnitud, requiriendo muestras superiores a 120 participantes según estudios análogos</w:t>
      </w:r>
      <w:r>
        <w:t xml:space="preserve"> (</w:t>
      </w:r>
      <w:proofErr w:type="spellStart"/>
      <w:r>
        <w:t>Hilte</w:t>
      </w:r>
      <w:proofErr w:type="spellEnd"/>
      <w:r>
        <w:t xml:space="preserve"> et al., 2025). Esta combinación —efectos pequeños en la población y baja potencia local— hace plausible la existencia de un error Tipo II.</w:t>
      </w:r>
    </w:p>
    <w:p w14:paraId="582E0831" w14:textId="77777777" w:rsidR="001A4A8D" w:rsidRDefault="007141C1">
      <w:pPr>
        <w:spacing w:before="140" w:after="60"/>
      </w:pPr>
      <w:r>
        <w:rPr>
          <w:b/>
          <w:bCs/>
          <w:i/>
          <w:iCs/>
        </w:rPr>
        <w:t>Limitaciones</w:t>
      </w:r>
    </w:p>
    <w:p w14:paraId="78FD373C" w14:textId="1306BF80" w:rsidR="001A4A8D" w:rsidRDefault="007141C1">
      <w:pPr>
        <w:ind w:firstLine="720"/>
        <w:jc w:val="both"/>
      </w:pPr>
      <w:r>
        <w:t xml:space="preserve">Cuatro limitaciones deben señalarse explícitamente. (1) El </w:t>
      </w:r>
      <w:r>
        <w:rPr>
          <w:b/>
          <w:bCs/>
        </w:rPr>
        <w:t>tamaño muestral</w:t>
      </w:r>
      <w:r>
        <w:t xml:space="preserve"> resultó insuficiente para detectar los efectos pequeños habituales en este campo, en particular dado el desbalance entre celdas (Generación X · Alto uso, </w:t>
      </w:r>
      <w:r>
        <w:rPr>
          <w:i/>
          <w:iCs/>
        </w:rPr>
        <w:t>n</w:t>
      </w:r>
      <w:r>
        <w:t xml:space="preserve"> = 2). (2) La </w:t>
      </w:r>
      <w:proofErr w:type="spellStart"/>
      <w:r>
        <w:rPr>
          <w:b/>
          <w:bCs/>
        </w:rPr>
        <w:t>dicotomización</w:t>
      </w:r>
      <w:proofErr w:type="spellEnd"/>
      <w:r>
        <w:rPr>
          <w:b/>
          <w:bCs/>
        </w:rPr>
        <w:t xml:space="preserve"> de las horas de </w:t>
      </w:r>
      <w:r>
        <w:rPr>
          <w:b/>
          <w:bCs/>
        </w:rPr>
        <w:lastRenderedPageBreak/>
        <w:t>uso</w:t>
      </w:r>
      <w:r>
        <w:t xml:space="preserve">, aunque respaldada por la literatura clínica, implica una pérdida de información que reduce la sensibilidad estadística respecto de un enfoque continuo (Hayes, 2018). (3) El </w:t>
      </w:r>
      <w:r>
        <w:rPr>
          <w:b/>
          <w:bCs/>
        </w:rPr>
        <w:t>muestreo no probabilístico</w:t>
      </w:r>
      <w:r>
        <w:t xml:space="preserve"> en un área geográfica acotada (CABA y GBA) limita la validez externa de los hallazgos. (4) La medición del uso de RRSS mediante </w:t>
      </w:r>
      <w:r>
        <w:rPr>
          <w:b/>
          <w:bCs/>
        </w:rPr>
        <w:t>autoinforme retrospectivo</w:t>
      </w:r>
      <w:r>
        <w:t xml:space="preserve"> está sujeta a sesgos de estimación bien documentados, que pueden atenuar las asociaciones reales.</w:t>
      </w:r>
    </w:p>
    <w:p w14:paraId="253CE72B" w14:textId="77777777" w:rsidR="001A4A8D" w:rsidRDefault="007141C1">
      <w:pPr>
        <w:spacing w:before="140" w:after="60"/>
      </w:pPr>
      <w:r>
        <w:rPr>
          <w:b/>
          <w:bCs/>
          <w:i/>
          <w:iCs/>
        </w:rPr>
        <w:t>Direcciones futuras</w:t>
      </w:r>
    </w:p>
    <w:p w14:paraId="2C7D2587" w14:textId="77777777" w:rsidR="001A4A8D" w:rsidRDefault="007141C1">
      <w:pPr>
        <w:ind w:firstLine="720"/>
        <w:jc w:val="both"/>
      </w:pPr>
      <w:r>
        <w:t xml:space="preserve">Futuros estudios deberían: (a) ampliar el tamaño muestral con un mínimo de 30 participantes por celda en cada cohorte; (b) explorar el uso como variable continua mediante modelos de regresión con moderación, complementados con análisis de pendientes simples; (c) diferenciar entre </w:t>
      </w:r>
      <w:r w:rsidRPr="0014010C">
        <w:rPr>
          <w:highlight w:val="yellow"/>
        </w:rPr>
        <w:t>uso activo y pasivo de RRSS</w:t>
      </w:r>
      <w:r>
        <w:t>, dado que ambos parecen tener efectos diferenciales sobre la sintomatología ansiosa (</w:t>
      </w:r>
      <w:proofErr w:type="spellStart"/>
      <w:r>
        <w:t>Thorisdottir</w:t>
      </w:r>
      <w:proofErr w:type="spellEnd"/>
      <w:r>
        <w:t xml:space="preserve"> et al., 2020); y (d) incorporar mediciones objetivas del uso digital (registros de pantalla) para reducir el sesgo de autoinforme.</w:t>
      </w:r>
    </w:p>
    <w:p w14:paraId="58157BC4" w14:textId="77777777" w:rsidR="001A4A8D" w:rsidRDefault="007141C1">
      <w:pPr>
        <w:spacing w:before="140" w:after="60"/>
      </w:pPr>
      <w:r>
        <w:rPr>
          <w:b/>
          <w:bCs/>
          <w:i/>
          <w:iCs/>
        </w:rPr>
        <w:t>Conclusión</w:t>
      </w:r>
    </w:p>
    <w:p w14:paraId="4B39F23B" w14:textId="77777777" w:rsidR="001A4A8D" w:rsidRDefault="007141C1">
      <w:pPr>
        <w:ind w:firstLine="720"/>
        <w:jc w:val="both"/>
      </w:pPr>
      <w:r>
        <w:t xml:space="preserve">En síntesis, este estudio no encontró evidencia estadística suficiente para sostener que el uso de RRSS, la pertenencia generacional, ni su interacción afecten significativamente la preocupación social ansiosa en la muestra evaluada. Sin embargo, el patrón descriptivo observado, los tamaños de efecto </w:t>
      </w:r>
      <w:proofErr w:type="gramStart"/>
      <w:r>
        <w:t>modestos</w:t>
      </w:r>
      <w:proofErr w:type="gramEnd"/>
      <w:r>
        <w:t xml:space="preserve"> pero no triviales, y la convergencia con la literatura reciente sugieren que la ausencia de significación no debe interpretarse como ausencia de fenómeno, sino como una invitación a replicar el estudio con mayor potencia muestral y diseños más sensibles. La preocupación social ansiosa en entornos digitales sigue siendo un constructo psicológicamente relevante que merece investigación continuada, particularmente en cohortes nativas digitales.</w:t>
      </w:r>
    </w:p>
    <w:p w14:paraId="090EAE15" w14:textId="77777777" w:rsidR="001A4A8D" w:rsidRDefault="007141C1">
      <w:r>
        <w:br w:type="page"/>
      </w:r>
    </w:p>
    <w:p w14:paraId="13391DA5" w14:textId="77777777" w:rsidR="001A4A8D" w:rsidRPr="00DD7357" w:rsidRDefault="007141C1">
      <w:pPr>
        <w:spacing w:before="240" w:after="120"/>
        <w:jc w:val="center"/>
        <w:rPr>
          <w:lang w:val="en-US"/>
        </w:rPr>
      </w:pPr>
      <w:proofErr w:type="spellStart"/>
      <w:r w:rsidRPr="00DD7357">
        <w:rPr>
          <w:b/>
          <w:bCs/>
          <w:lang w:val="en-US"/>
        </w:rPr>
        <w:lastRenderedPageBreak/>
        <w:t>Referencias</w:t>
      </w:r>
      <w:proofErr w:type="spellEnd"/>
    </w:p>
    <w:p w14:paraId="1132F765" w14:textId="77777777" w:rsidR="001A4A8D" w:rsidRPr="00DD7357" w:rsidRDefault="007141C1">
      <w:pPr>
        <w:ind w:left="720" w:hanging="720"/>
        <w:rPr>
          <w:lang w:val="en-US"/>
        </w:rPr>
      </w:pPr>
      <w:r w:rsidRPr="00DD7357">
        <w:rPr>
          <w:lang w:val="en-US"/>
        </w:rPr>
        <w:t xml:space="preserve">American Psychological Association. (2024). By the numbers: Teens are spending nearly 5 hours daily on social media. </w:t>
      </w:r>
      <w:r w:rsidRPr="00DD7357">
        <w:rPr>
          <w:i/>
          <w:iCs/>
          <w:lang w:val="en-US"/>
        </w:rPr>
        <w:t>Monitor on Psychology, 55</w:t>
      </w:r>
      <w:r w:rsidRPr="00DD7357">
        <w:rPr>
          <w:lang w:val="en-US"/>
        </w:rPr>
        <w:t>(3). https://www.apa.org/monitor/2024/04/teen-social-use-mental-health</w:t>
      </w:r>
    </w:p>
    <w:p w14:paraId="6B4996DC" w14:textId="77777777" w:rsidR="001A4A8D" w:rsidRPr="00DD7357" w:rsidRDefault="007141C1">
      <w:pPr>
        <w:ind w:left="720" w:hanging="720"/>
        <w:rPr>
          <w:lang w:val="en-US"/>
        </w:rPr>
      </w:pPr>
      <w:r>
        <w:t xml:space="preserve">Botella, J., Suero, M., &amp; Ximénez, C. (2012). </w:t>
      </w:r>
      <w:r>
        <w:rPr>
          <w:i/>
          <w:iCs/>
        </w:rPr>
        <w:t>Análisis de datos en psicología I</w:t>
      </w:r>
      <w:r>
        <w:t xml:space="preserve"> (3.ª ed.). </w:t>
      </w:r>
      <w:proofErr w:type="spellStart"/>
      <w:r w:rsidRPr="00DD7357">
        <w:rPr>
          <w:lang w:val="en-US"/>
        </w:rPr>
        <w:t>Ediciones</w:t>
      </w:r>
      <w:proofErr w:type="spellEnd"/>
      <w:r w:rsidRPr="00DD7357">
        <w:rPr>
          <w:lang w:val="en-US"/>
        </w:rPr>
        <w:t xml:space="preserve"> </w:t>
      </w:r>
      <w:proofErr w:type="spellStart"/>
      <w:r w:rsidRPr="00DD7357">
        <w:rPr>
          <w:lang w:val="en-US"/>
        </w:rPr>
        <w:t>Pirámide</w:t>
      </w:r>
      <w:proofErr w:type="spellEnd"/>
      <w:r w:rsidRPr="00DD7357">
        <w:rPr>
          <w:lang w:val="en-US"/>
        </w:rPr>
        <w:t>.</w:t>
      </w:r>
    </w:p>
    <w:p w14:paraId="012D6678" w14:textId="77777777" w:rsidR="001A4A8D" w:rsidRPr="00DD7357" w:rsidRDefault="007141C1">
      <w:pPr>
        <w:ind w:left="720" w:hanging="720"/>
        <w:rPr>
          <w:lang w:val="en-US"/>
        </w:rPr>
      </w:pPr>
      <w:r w:rsidRPr="00DD7357">
        <w:rPr>
          <w:lang w:val="en-US"/>
        </w:rPr>
        <w:t xml:space="preserve">Calvert, E., Cipriani, M., Dwyer, B., Lisowski, V., Mikkelson, J., Chen, K., Flathers, M., Hau, C., Xia, W., Castillo, J., Dhima, A., Ryan, S., &amp; </w:t>
      </w:r>
      <w:proofErr w:type="spellStart"/>
      <w:r w:rsidRPr="00DD7357">
        <w:rPr>
          <w:lang w:val="en-US"/>
        </w:rPr>
        <w:t>Torous</w:t>
      </w:r>
      <w:proofErr w:type="spellEnd"/>
      <w:r w:rsidRPr="00DD7357">
        <w:rPr>
          <w:lang w:val="en-US"/>
        </w:rPr>
        <w:t xml:space="preserve">, J. (2025). Social media detox and youth mental health. </w:t>
      </w:r>
      <w:r w:rsidRPr="00DD7357">
        <w:rPr>
          <w:i/>
          <w:iCs/>
          <w:lang w:val="en-US"/>
        </w:rPr>
        <w:t>JAMA Network Open, 8</w:t>
      </w:r>
      <w:r w:rsidRPr="00DD7357">
        <w:rPr>
          <w:lang w:val="en-US"/>
        </w:rPr>
        <w:t>(11), e2545245. https://doi.org/10.1001/jamanetworkopen.2025.45245</w:t>
      </w:r>
    </w:p>
    <w:p w14:paraId="45C0B67A" w14:textId="77777777" w:rsidR="001A4A8D" w:rsidRPr="00DD7357" w:rsidRDefault="007141C1">
      <w:pPr>
        <w:ind w:left="720" w:hanging="720"/>
        <w:rPr>
          <w:lang w:val="en-US"/>
        </w:rPr>
      </w:pPr>
      <w:r>
        <w:t xml:space="preserve">Cataldo, I., </w:t>
      </w:r>
      <w:proofErr w:type="spellStart"/>
      <w:r>
        <w:t>Vighi</w:t>
      </w:r>
      <w:proofErr w:type="spellEnd"/>
      <w:r>
        <w:t xml:space="preserve">, V., </w:t>
      </w:r>
      <w:proofErr w:type="spellStart"/>
      <w:r>
        <w:t>Soeiro</w:t>
      </w:r>
      <w:proofErr w:type="spellEnd"/>
      <w:r>
        <w:t xml:space="preserve">, S. C., </w:t>
      </w:r>
      <w:proofErr w:type="spellStart"/>
      <w:r>
        <w:t>Boundy</w:t>
      </w:r>
      <w:proofErr w:type="spellEnd"/>
      <w:r>
        <w:t xml:space="preserve">, M., </w:t>
      </w:r>
      <w:proofErr w:type="spellStart"/>
      <w:r>
        <w:t>Bonassi</w:t>
      </w:r>
      <w:proofErr w:type="spellEnd"/>
      <w:r>
        <w:t xml:space="preserve">, A., Mariani </w:t>
      </w:r>
      <w:proofErr w:type="spellStart"/>
      <w:r>
        <w:t>Wigley</w:t>
      </w:r>
      <w:proofErr w:type="spellEnd"/>
      <w:r>
        <w:t xml:space="preserve">, I. L. C., De </w:t>
      </w:r>
      <w:proofErr w:type="spellStart"/>
      <w:r>
        <w:t>Pisapia</w:t>
      </w:r>
      <w:proofErr w:type="spellEnd"/>
      <w:r>
        <w:t xml:space="preserve">, N., </w:t>
      </w:r>
      <w:proofErr w:type="spellStart"/>
      <w:r>
        <w:t>Carollo</w:t>
      </w:r>
      <w:proofErr w:type="spellEnd"/>
      <w:r>
        <w:t xml:space="preserve">, A., &amp; Esposito, G. (2025). </w:t>
      </w:r>
      <w:r w:rsidRPr="00DD7357">
        <w:rPr>
          <w:lang w:val="en-US"/>
        </w:rPr>
        <w:t xml:space="preserve">Social media use and well-being: A systematic review and meta-analysis. </w:t>
      </w:r>
      <w:r w:rsidRPr="00DD7357">
        <w:rPr>
          <w:i/>
          <w:iCs/>
          <w:lang w:val="en-US"/>
        </w:rPr>
        <w:t>Cyberpsychology, Behavior, and Social Networking</w:t>
      </w:r>
      <w:r w:rsidRPr="00DD7357">
        <w:rPr>
          <w:lang w:val="en-US"/>
        </w:rPr>
        <w:t>. https://doi.org/10.1089/cyber.2024.0001</w:t>
      </w:r>
    </w:p>
    <w:p w14:paraId="0D253899" w14:textId="77777777" w:rsidR="001A4A8D" w:rsidRPr="00DD7357" w:rsidRDefault="007141C1">
      <w:pPr>
        <w:ind w:left="720" w:hanging="720"/>
        <w:rPr>
          <w:lang w:val="en-US"/>
        </w:rPr>
      </w:pPr>
      <w:r w:rsidRPr="00DD7357">
        <w:rPr>
          <w:lang w:val="en-US"/>
        </w:rPr>
        <w:t xml:space="preserve">Coe, E., </w:t>
      </w:r>
      <w:proofErr w:type="spellStart"/>
      <w:r w:rsidRPr="00DD7357">
        <w:rPr>
          <w:lang w:val="en-US"/>
        </w:rPr>
        <w:t>Cordina</w:t>
      </w:r>
      <w:proofErr w:type="spellEnd"/>
      <w:r w:rsidRPr="00DD7357">
        <w:rPr>
          <w:lang w:val="en-US"/>
        </w:rPr>
        <w:t xml:space="preserve">, J., Enomoto, K., Jacobson, R., Mei, S., &amp; Seshan, N. (2023). </w:t>
      </w:r>
      <w:r w:rsidRPr="00DD7357">
        <w:rPr>
          <w:i/>
          <w:iCs/>
          <w:lang w:val="en-US"/>
        </w:rPr>
        <w:t>Gen Z mental health: The impact of tech and social media</w:t>
      </w:r>
      <w:r w:rsidRPr="00DD7357">
        <w:rPr>
          <w:lang w:val="en-US"/>
        </w:rPr>
        <w:t>. McKinsey Health Institute.</w:t>
      </w:r>
    </w:p>
    <w:p w14:paraId="67F8EF17" w14:textId="77777777" w:rsidR="001A4A8D" w:rsidRPr="00DD7357" w:rsidRDefault="007141C1">
      <w:pPr>
        <w:ind w:left="720" w:hanging="720"/>
        <w:rPr>
          <w:lang w:val="en-US"/>
        </w:rPr>
      </w:pPr>
      <w:r w:rsidRPr="00DD7357">
        <w:rPr>
          <w:lang w:val="en-US"/>
        </w:rPr>
        <w:t xml:space="preserve">Cohen, J. (1992). A power primer. </w:t>
      </w:r>
      <w:r w:rsidRPr="00DD7357">
        <w:rPr>
          <w:i/>
          <w:iCs/>
          <w:lang w:val="en-US"/>
        </w:rPr>
        <w:t>Psychological Bulletin, 112</w:t>
      </w:r>
      <w:r w:rsidRPr="00DD7357">
        <w:rPr>
          <w:lang w:val="en-US"/>
        </w:rPr>
        <w:t>(1), 155–159. https://doi.org/10.1037/0033-2909.112.1.155</w:t>
      </w:r>
    </w:p>
    <w:p w14:paraId="53F93752" w14:textId="77777777" w:rsidR="001A4A8D" w:rsidRPr="00DD7357" w:rsidRDefault="007141C1">
      <w:pPr>
        <w:ind w:left="720" w:hanging="720"/>
        <w:rPr>
          <w:lang w:val="en-US"/>
        </w:rPr>
      </w:pPr>
      <w:r w:rsidRPr="00DD7357">
        <w:rPr>
          <w:lang w:val="en-US"/>
        </w:rPr>
        <w:t xml:space="preserve">Corke, L., </w:t>
      </w:r>
      <w:proofErr w:type="spellStart"/>
      <w:r w:rsidRPr="00DD7357">
        <w:rPr>
          <w:lang w:val="en-US"/>
        </w:rPr>
        <w:t>Maksyutynska</w:t>
      </w:r>
      <w:proofErr w:type="spellEnd"/>
      <w:r w:rsidRPr="00DD7357">
        <w:rPr>
          <w:lang w:val="en-US"/>
        </w:rPr>
        <w:t xml:space="preserve">, K., Jones, J. M., &amp; George, T. P. (2025). The relationship between social media use and mental health disorders in adolescents and young adults: A scoping review. </w:t>
      </w:r>
      <w:r w:rsidRPr="00DD7357">
        <w:rPr>
          <w:i/>
          <w:iCs/>
          <w:lang w:val="en-US"/>
        </w:rPr>
        <w:t>Journal of Psychiatric Practice, 31</w:t>
      </w:r>
      <w:r w:rsidRPr="00DD7357">
        <w:rPr>
          <w:lang w:val="en-US"/>
        </w:rPr>
        <w:t>(4), 215–234.</w:t>
      </w:r>
    </w:p>
    <w:p w14:paraId="1ACC2932" w14:textId="77777777" w:rsidR="001A4A8D" w:rsidRPr="00DD7357" w:rsidRDefault="007141C1">
      <w:pPr>
        <w:ind w:left="720" w:hanging="720"/>
        <w:rPr>
          <w:lang w:val="en-US"/>
        </w:rPr>
      </w:pPr>
      <w:r w:rsidRPr="00DD7357">
        <w:rPr>
          <w:lang w:val="en-US"/>
        </w:rPr>
        <w:t xml:space="preserve">Ferguson, C. J., Kaye, L. K., Branley-Bell, D., Markey, P., Ivory, J. D., </w:t>
      </w:r>
      <w:proofErr w:type="spellStart"/>
      <w:r w:rsidRPr="00DD7357">
        <w:rPr>
          <w:lang w:val="en-US"/>
        </w:rPr>
        <w:t>Klisanin</w:t>
      </w:r>
      <w:proofErr w:type="spellEnd"/>
      <w:r w:rsidRPr="00DD7357">
        <w:rPr>
          <w:lang w:val="en-US"/>
        </w:rPr>
        <w:t xml:space="preserve">, D., Elson, M., Smyth, M., Hogg, J. L., McDonnell, D., Nichols, D., Siddiqui, S., Gregerson, M., &amp; Wilson, J. (2022). Like this meta-analysis: Screen media and mental health. </w:t>
      </w:r>
      <w:r w:rsidRPr="00DD7357">
        <w:rPr>
          <w:i/>
          <w:iCs/>
          <w:lang w:val="en-US"/>
        </w:rPr>
        <w:t>Professional Psychology: Research and Practice, 53</w:t>
      </w:r>
      <w:r w:rsidRPr="00DD7357">
        <w:rPr>
          <w:lang w:val="en-US"/>
        </w:rPr>
        <w:t>(2), 205–214.</w:t>
      </w:r>
    </w:p>
    <w:p w14:paraId="255525ED" w14:textId="77777777" w:rsidR="001A4A8D" w:rsidRPr="00DD7357" w:rsidRDefault="007141C1">
      <w:pPr>
        <w:ind w:left="720" w:hanging="720"/>
        <w:rPr>
          <w:lang w:val="en-US"/>
        </w:rPr>
      </w:pPr>
      <w:r w:rsidRPr="00DD7357">
        <w:rPr>
          <w:lang w:val="en-US"/>
        </w:rPr>
        <w:t xml:space="preserve">Hanley, S. M., Watt, S. E., &amp; Coventry, W. (2022). Taking a break: The effects of partaking in a two-week social media digital detox on problematic smartphone and social media use, and other health-related outcomes among young adults. </w:t>
      </w:r>
      <w:r w:rsidRPr="00DD7357">
        <w:rPr>
          <w:i/>
          <w:iCs/>
          <w:lang w:val="en-US"/>
        </w:rPr>
        <w:t>Frontiers in Psychiatry, 13</w:t>
      </w:r>
      <w:r w:rsidRPr="00DD7357">
        <w:rPr>
          <w:lang w:val="en-US"/>
        </w:rPr>
        <w:t>, 867871. https://doi.org/10.3389/fpsyt.2022.867871</w:t>
      </w:r>
    </w:p>
    <w:p w14:paraId="4E9CC8DE" w14:textId="77777777" w:rsidR="001A4A8D" w:rsidRPr="00DD7357" w:rsidRDefault="007141C1">
      <w:pPr>
        <w:ind w:left="720" w:hanging="720"/>
        <w:rPr>
          <w:lang w:val="en-US"/>
        </w:rPr>
      </w:pPr>
      <w:r w:rsidRPr="00DD7357">
        <w:rPr>
          <w:lang w:val="en-US"/>
        </w:rPr>
        <w:t xml:space="preserve">Hayes, A. F. (2018). </w:t>
      </w:r>
      <w:r w:rsidRPr="00DD7357">
        <w:rPr>
          <w:i/>
          <w:iCs/>
          <w:lang w:val="en-US"/>
        </w:rPr>
        <w:t>Introduction to mediation, moderation, and conditional process analysis: A regression-based approach</w:t>
      </w:r>
      <w:r w:rsidRPr="00DD7357">
        <w:rPr>
          <w:lang w:val="en-US"/>
        </w:rPr>
        <w:t xml:space="preserve"> (2nd ed.). Guilford Press.</w:t>
      </w:r>
    </w:p>
    <w:p w14:paraId="6FD2C955" w14:textId="77777777" w:rsidR="001A4A8D" w:rsidRPr="00DD7357" w:rsidRDefault="007141C1">
      <w:pPr>
        <w:ind w:left="720" w:hanging="720"/>
        <w:rPr>
          <w:lang w:val="en-US"/>
        </w:rPr>
      </w:pPr>
      <w:r w:rsidRPr="00DD7357">
        <w:rPr>
          <w:lang w:val="en-US"/>
        </w:rPr>
        <w:t xml:space="preserve">Hilte, L., Vandenbosch, L., </w:t>
      </w:r>
      <w:proofErr w:type="spellStart"/>
      <w:r w:rsidRPr="00DD7357">
        <w:rPr>
          <w:lang w:val="en-US"/>
        </w:rPr>
        <w:t>Trekels</w:t>
      </w:r>
      <w:proofErr w:type="spellEnd"/>
      <w:r w:rsidRPr="00DD7357">
        <w:rPr>
          <w:lang w:val="en-US"/>
        </w:rPr>
        <w:t xml:space="preserve">, J., &amp; </w:t>
      </w:r>
      <w:proofErr w:type="spellStart"/>
      <w:r w:rsidRPr="00DD7357">
        <w:rPr>
          <w:lang w:val="en-US"/>
        </w:rPr>
        <w:t>Eggermont</w:t>
      </w:r>
      <w:proofErr w:type="spellEnd"/>
      <w:r w:rsidRPr="00DD7357">
        <w:rPr>
          <w:lang w:val="en-US"/>
        </w:rPr>
        <w:t xml:space="preserve">, S. (2025). Causal effects of social media use on self-esteem, mindfulness, </w:t>
      </w:r>
      <w:proofErr w:type="gramStart"/>
      <w:r w:rsidRPr="00DD7357">
        <w:rPr>
          <w:lang w:val="en-US"/>
        </w:rPr>
        <w:t>sleep</w:t>
      </w:r>
      <w:proofErr w:type="gramEnd"/>
      <w:r w:rsidRPr="00DD7357">
        <w:rPr>
          <w:lang w:val="en-US"/>
        </w:rPr>
        <w:t xml:space="preserve"> and emotional well-being: A social media restriction study. </w:t>
      </w:r>
      <w:r w:rsidRPr="00DD7357">
        <w:rPr>
          <w:i/>
          <w:iCs/>
          <w:lang w:val="en-US"/>
        </w:rPr>
        <w:t>Frontiers in Public Health, 13</w:t>
      </w:r>
      <w:r w:rsidRPr="00DD7357">
        <w:rPr>
          <w:lang w:val="en-US"/>
        </w:rPr>
        <w:t>, 1548504. https://doi.org/10.3389/fpubh.2025.1548504</w:t>
      </w:r>
    </w:p>
    <w:p w14:paraId="0482B62C" w14:textId="77777777" w:rsidR="001A4A8D" w:rsidRPr="00DD7357" w:rsidRDefault="007141C1">
      <w:pPr>
        <w:ind w:left="720" w:hanging="720"/>
        <w:rPr>
          <w:lang w:val="en-US"/>
        </w:rPr>
      </w:pPr>
      <w:r w:rsidRPr="00DD7357">
        <w:rPr>
          <w:lang w:val="en-US"/>
        </w:rPr>
        <w:t xml:space="preserve">Kline, R. B. (2016). </w:t>
      </w:r>
      <w:r w:rsidRPr="00DD7357">
        <w:rPr>
          <w:i/>
          <w:iCs/>
          <w:lang w:val="en-US"/>
        </w:rPr>
        <w:t>Principles and practice of structural equation modeling</w:t>
      </w:r>
      <w:r w:rsidRPr="00DD7357">
        <w:rPr>
          <w:lang w:val="en-US"/>
        </w:rPr>
        <w:t xml:space="preserve"> (4th ed.). Guilford Press.</w:t>
      </w:r>
    </w:p>
    <w:p w14:paraId="259365DE" w14:textId="77777777" w:rsidR="001A4A8D" w:rsidRPr="00DD7357" w:rsidRDefault="007141C1">
      <w:pPr>
        <w:ind w:left="720" w:hanging="720"/>
        <w:rPr>
          <w:lang w:val="en-US"/>
        </w:rPr>
      </w:pPr>
      <w:r w:rsidRPr="00DD7357">
        <w:rPr>
          <w:lang w:val="en-US"/>
        </w:rPr>
        <w:t xml:space="preserve">Lambert, J., Barnstable, G., Minter, E., Cooper, J., &amp; McEwan, D. (2022). Taking a one-week break from social media improves well-being, depression, and anxiety: A randomized controlled trial. </w:t>
      </w:r>
      <w:r w:rsidRPr="00DD7357">
        <w:rPr>
          <w:i/>
          <w:iCs/>
          <w:lang w:val="en-US"/>
        </w:rPr>
        <w:t>Cyberpsychology, Behavior, and Social Networking, 25</w:t>
      </w:r>
      <w:r w:rsidRPr="00DD7357">
        <w:rPr>
          <w:lang w:val="en-US"/>
        </w:rPr>
        <w:t>(5), 287–293. https://doi.org/10.1089/cyber.2021.0324</w:t>
      </w:r>
    </w:p>
    <w:p w14:paraId="22B7ABC0" w14:textId="77777777" w:rsidR="001A4A8D" w:rsidRPr="00DD7357" w:rsidRDefault="007141C1">
      <w:pPr>
        <w:ind w:left="720" w:hanging="720"/>
        <w:rPr>
          <w:lang w:val="en-US"/>
        </w:rPr>
      </w:pPr>
      <w:r w:rsidRPr="00DD7357">
        <w:rPr>
          <w:lang w:val="en-US"/>
        </w:rPr>
        <w:t xml:space="preserve">Plackett, R., Sheringham, J., &amp; </w:t>
      </w:r>
      <w:proofErr w:type="spellStart"/>
      <w:r w:rsidRPr="00DD7357">
        <w:rPr>
          <w:lang w:val="en-US"/>
        </w:rPr>
        <w:t>Dykxhoorn</w:t>
      </w:r>
      <w:proofErr w:type="spellEnd"/>
      <w:r w:rsidRPr="00DD7357">
        <w:rPr>
          <w:lang w:val="en-US"/>
        </w:rPr>
        <w:t xml:space="preserve">, J. (2023). The longitudinal impact of social media use on UK adolescents’ mental health: Longitudinal observational study. </w:t>
      </w:r>
      <w:r w:rsidRPr="00DD7357">
        <w:rPr>
          <w:i/>
          <w:iCs/>
          <w:lang w:val="en-US"/>
        </w:rPr>
        <w:t>Journal of Medical Internet Research, 25</w:t>
      </w:r>
      <w:r w:rsidRPr="00DD7357">
        <w:rPr>
          <w:lang w:val="en-US"/>
        </w:rPr>
        <w:t>, e43213. https://doi.org/10.2196/43213</w:t>
      </w:r>
    </w:p>
    <w:p w14:paraId="7B449DC4" w14:textId="77777777" w:rsidR="001A4A8D" w:rsidRPr="00DD7357" w:rsidRDefault="007141C1">
      <w:pPr>
        <w:ind w:left="720" w:hanging="720"/>
        <w:rPr>
          <w:lang w:val="en-US"/>
        </w:rPr>
      </w:pPr>
      <w:r w:rsidRPr="00DD7357">
        <w:rPr>
          <w:lang w:val="en-US"/>
        </w:rPr>
        <w:lastRenderedPageBreak/>
        <w:t xml:space="preserve">Reiss, S., Peterson, R. A., Gursky, D. M., &amp; McNally, R. J. (1986). Anxiety sensitivity, anxiety frequency and the prediction of fearfulness. </w:t>
      </w:r>
      <w:proofErr w:type="spellStart"/>
      <w:r w:rsidRPr="00DD7357">
        <w:rPr>
          <w:i/>
          <w:iCs/>
          <w:lang w:val="en-US"/>
        </w:rPr>
        <w:t>Behaviour</w:t>
      </w:r>
      <w:proofErr w:type="spellEnd"/>
      <w:r w:rsidRPr="00DD7357">
        <w:rPr>
          <w:i/>
          <w:iCs/>
          <w:lang w:val="en-US"/>
        </w:rPr>
        <w:t xml:space="preserve"> Research and Therapy, 24</w:t>
      </w:r>
      <w:r w:rsidRPr="00DD7357">
        <w:rPr>
          <w:lang w:val="en-US"/>
        </w:rPr>
        <w:t>(1), 1–8. https://doi.org/10.1016/0005-7967(86)90143-9</w:t>
      </w:r>
    </w:p>
    <w:p w14:paraId="1265712D" w14:textId="77777777" w:rsidR="001A4A8D" w:rsidRDefault="007141C1">
      <w:pPr>
        <w:ind w:left="720" w:hanging="720"/>
      </w:pPr>
      <w:r w:rsidRPr="00DD7357">
        <w:rPr>
          <w:lang w:val="en-US"/>
        </w:rPr>
        <w:t xml:space="preserve">Riehm, K. E., Feder, K. A., Tormohlen, K. N., Crum, R. M., Young, A. S., Green, K. M., Pacek, L. R., La Flair, L. N., &amp; </w:t>
      </w:r>
      <w:proofErr w:type="spellStart"/>
      <w:r w:rsidRPr="00DD7357">
        <w:rPr>
          <w:lang w:val="en-US"/>
        </w:rPr>
        <w:t>Mojtabai</w:t>
      </w:r>
      <w:proofErr w:type="spellEnd"/>
      <w:r w:rsidRPr="00DD7357">
        <w:rPr>
          <w:lang w:val="en-US"/>
        </w:rPr>
        <w:t xml:space="preserve">, R. (2019). Associations between time spent using social media and internalizing and externalizing problems among US youth. </w:t>
      </w:r>
      <w:r>
        <w:rPr>
          <w:i/>
          <w:iCs/>
        </w:rPr>
        <w:t xml:space="preserve">JAMA </w:t>
      </w:r>
      <w:proofErr w:type="spellStart"/>
      <w:r>
        <w:rPr>
          <w:i/>
          <w:iCs/>
        </w:rPr>
        <w:t>Psychiatry</w:t>
      </w:r>
      <w:proofErr w:type="spellEnd"/>
      <w:r>
        <w:rPr>
          <w:i/>
          <w:iCs/>
        </w:rPr>
        <w:t>, 76</w:t>
      </w:r>
      <w:r>
        <w:t>(12), 1266–1273. https://doi.org/10.1001/jamapsychiatry.2019.2325</w:t>
      </w:r>
    </w:p>
    <w:p w14:paraId="58B38052" w14:textId="77777777" w:rsidR="001A4A8D" w:rsidRDefault="007141C1">
      <w:pPr>
        <w:ind w:left="720" w:hanging="720"/>
      </w:pPr>
      <w:r>
        <w:t xml:space="preserve">Sandín, B., Valiente, R. M., </w:t>
      </w:r>
      <w:proofErr w:type="spellStart"/>
      <w:r>
        <w:t>Chorot</w:t>
      </w:r>
      <w:proofErr w:type="spellEnd"/>
      <w:r>
        <w:t xml:space="preserve">, P., &amp; </w:t>
      </w:r>
      <w:proofErr w:type="spellStart"/>
      <w:r>
        <w:t>Santed</w:t>
      </w:r>
      <w:proofErr w:type="spellEnd"/>
      <w:r>
        <w:t xml:space="preserve">, M. A. (2007). ASI-3: Nueva escala para la evaluación de la sensibilidad a la ansiedad. </w:t>
      </w:r>
      <w:r>
        <w:rPr>
          <w:i/>
          <w:iCs/>
        </w:rPr>
        <w:t>Revista de Psicopatología y Psicología Clínica, 12</w:t>
      </w:r>
      <w:r>
        <w:t>(2), 91–104.</w:t>
      </w:r>
    </w:p>
    <w:p w14:paraId="794EB3BC" w14:textId="77777777" w:rsidR="001A4A8D" w:rsidRPr="00DD7357" w:rsidRDefault="007141C1">
      <w:pPr>
        <w:ind w:left="720" w:hanging="720"/>
        <w:rPr>
          <w:lang w:val="en-US"/>
        </w:rPr>
      </w:pPr>
      <w:proofErr w:type="spellStart"/>
      <w:r>
        <w:t>Spielberger</w:t>
      </w:r>
      <w:proofErr w:type="spellEnd"/>
      <w:r>
        <w:t xml:space="preserve">, C. D. (1972). </w:t>
      </w:r>
      <w:proofErr w:type="spellStart"/>
      <w:r>
        <w:t>Anxiety</w:t>
      </w:r>
      <w:proofErr w:type="spellEnd"/>
      <w:r>
        <w:t xml:space="preserve"> as </w:t>
      </w:r>
      <w:proofErr w:type="spellStart"/>
      <w:r>
        <w:t>an</w:t>
      </w:r>
      <w:proofErr w:type="spellEnd"/>
      <w:r>
        <w:t xml:space="preserve"> </w:t>
      </w:r>
      <w:proofErr w:type="spellStart"/>
      <w:r>
        <w:t>emotional</w:t>
      </w:r>
      <w:proofErr w:type="spellEnd"/>
      <w:r>
        <w:t xml:space="preserve"> </w:t>
      </w:r>
      <w:proofErr w:type="spellStart"/>
      <w:r>
        <w:t>state</w:t>
      </w:r>
      <w:proofErr w:type="spellEnd"/>
      <w:r>
        <w:t xml:space="preserve">. </w:t>
      </w:r>
      <w:proofErr w:type="spellStart"/>
      <w:r w:rsidRPr="00DD7357">
        <w:rPr>
          <w:lang w:val="en-US"/>
        </w:rPr>
        <w:t>En</w:t>
      </w:r>
      <w:proofErr w:type="spellEnd"/>
      <w:r w:rsidRPr="00DD7357">
        <w:rPr>
          <w:lang w:val="en-US"/>
        </w:rPr>
        <w:t xml:space="preserve"> C. D. Spielberger (Ed.), </w:t>
      </w:r>
      <w:r w:rsidRPr="00DD7357">
        <w:rPr>
          <w:i/>
          <w:iCs/>
          <w:lang w:val="en-US"/>
        </w:rPr>
        <w:t>Anxiety: Current trends in theory and research</w:t>
      </w:r>
      <w:r w:rsidRPr="00DD7357">
        <w:rPr>
          <w:lang w:val="en-US"/>
        </w:rPr>
        <w:t xml:space="preserve"> (Vol. 1, pp. 23–49). Academic Press.</w:t>
      </w:r>
    </w:p>
    <w:p w14:paraId="5B522D5B" w14:textId="77777777" w:rsidR="001A4A8D" w:rsidRPr="00DD7357" w:rsidRDefault="007141C1">
      <w:pPr>
        <w:ind w:left="720" w:hanging="720"/>
        <w:rPr>
          <w:lang w:val="en-US"/>
        </w:rPr>
      </w:pPr>
      <w:r w:rsidRPr="00DD7357">
        <w:rPr>
          <w:lang w:val="en-US"/>
        </w:rPr>
        <w:t xml:space="preserve">Taylor, S. (1999). </w:t>
      </w:r>
      <w:r w:rsidRPr="00DD7357">
        <w:rPr>
          <w:i/>
          <w:iCs/>
          <w:lang w:val="en-US"/>
        </w:rPr>
        <w:t>Anxiety sensitivity: Theory, research, and treatment of the fear of anxiety</w:t>
      </w:r>
      <w:r w:rsidRPr="00DD7357">
        <w:rPr>
          <w:lang w:val="en-US"/>
        </w:rPr>
        <w:t>. Lawrence Erlbaum Associates.</w:t>
      </w:r>
    </w:p>
    <w:p w14:paraId="7AA2D1D9" w14:textId="77777777" w:rsidR="001A4A8D" w:rsidRPr="00DD7357" w:rsidRDefault="007141C1">
      <w:pPr>
        <w:ind w:left="720" w:hanging="720"/>
        <w:rPr>
          <w:lang w:val="en-US"/>
        </w:rPr>
      </w:pPr>
      <w:r w:rsidRPr="00DD7357">
        <w:rPr>
          <w:lang w:val="en-US"/>
        </w:rPr>
        <w:t xml:space="preserve">Taylor, S., Zvolensky, M. J., Cox, B. J., Deacon, B., Heimberg, R. G., Ledley, D. R., Abramowitz, J. S., Holaway, R. M., </w:t>
      </w:r>
      <w:proofErr w:type="spellStart"/>
      <w:r w:rsidRPr="00DD7357">
        <w:rPr>
          <w:lang w:val="en-US"/>
        </w:rPr>
        <w:t>Sandín</w:t>
      </w:r>
      <w:proofErr w:type="spellEnd"/>
      <w:r w:rsidRPr="00DD7357">
        <w:rPr>
          <w:lang w:val="en-US"/>
        </w:rPr>
        <w:t xml:space="preserve">, B., Stewart, S. H., Coles, M., Eng, W., Daly, E. S., Arrindell, W. A., Bouvard, M., &amp; Jurado Cardenas, S. (2007). Robust dimensions of anxiety sensitivity: Development and initial validation of the Anxiety Sensitivity Index-3. </w:t>
      </w:r>
      <w:r w:rsidRPr="00DD7357">
        <w:rPr>
          <w:i/>
          <w:iCs/>
          <w:lang w:val="en-US"/>
        </w:rPr>
        <w:t>Psychological Assessment, 19</w:t>
      </w:r>
      <w:r w:rsidRPr="00DD7357">
        <w:rPr>
          <w:lang w:val="en-US"/>
        </w:rPr>
        <w:t>(2), 176–188. https://doi.org/10.1037/1040-3590.19.2.176</w:t>
      </w:r>
    </w:p>
    <w:p w14:paraId="53597136" w14:textId="77777777" w:rsidR="001A4A8D" w:rsidRPr="00DD7357" w:rsidRDefault="007141C1">
      <w:pPr>
        <w:ind w:left="720" w:hanging="720"/>
        <w:rPr>
          <w:lang w:val="en-US"/>
        </w:rPr>
      </w:pPr>
      <w:r w:rsidRPr="00DD7357">
        <w:rPr>
          <w:lang w:val="en-US"/>
        </w:rPr>
        <w:t xml:space="preserve">The </w:t>
      </w:r>
      <w:proofErr w:type="spellStart"/>
      <w:r w:rsidRPr="00DD7357">
        <w:rPr>
          <w:lang w:val="en-US"/>
        </w:rPr>
        <w:t>jamovi</w:t>
      </w:r>
      <w:proofErr w:type="spellEnd"/>
      <w:r w:rsidRPr="00DD7357">
        <w:rPr>
          <w:lang w:val="en-US"/>
        </w:rPr>
        <w:t xml:space="preserve"> project. (2024). </w:t>
      </w:r>
      <w:proofErr w:type="spellStart"/>
      <w:r w:rsidRPr="00DD7357">
        <w:rPr>
          <w:i/>
          <w:iCs/>
          <w:lang w:val="en-US"/>
        </w:rPr>
        <w:t>jamovi</w:t>
      </w:r>
      <w:proofErr w:type="spellEnd"/>
      <w:r w:rsidRPr="00DD7357">
        <w:rPr>
          <w:lang w:val="en-US"/>
        </w:rPr>
        <w:t xml:space="preserve"> (Version 2.7) [Computer Software]. https://www.jamovi.org</w:t>
      </w:r>
    </w:p>
    <w:p w14:paraId="2958F65E" w14:textId="77777777" w:rsidR="001A4A8D" w:rsidRPr="00DD7357" w:rsidRDefault="007141C1">
      <w:pPr>
        <w:ind w:left="720" w:hanging="720"/>
        <w:rPr>
          <w:lang w:val="en-US"/>
        </w:rPr>
      </w:pPr>
      <w:r w:rsidRPr="00DD7357">
        <w:rPr>
          <w:lang w:val="en-US"/>
        </w:rPr>
        <w:t xml:space="preserve">Thorisdottir, I. E., </w:t>
      </w:r>
      <w:proofErr w:type="spellStart"/>
      <w:r w:rsidRPr="00DD7357">
        <w:rPr>
          <w:lang w:val="en-US"/>
        </w:rPr>
        <w:t>Sigurvinsdottir</w:t>
      </w:r>
      <w:proofErr w:type="spellEnd"/>
      <w:r w:rsidRPr="00DD7357">
        <w:rPr>
          <w:lang w:val="en-US"/>
        </w:rPr>
        <w:t xml:space="preserve">, R., Asgeirsdottir, B. B., </w:t>
      </w:r>
      <w:proofErr w:type="spellStart"/>
      <w:r w:rsidRPr="00DD7357">
        <w:rPr>
          <w:lang w:val="en-US"/>
        </w:rPr>
        <w:t>Allegrante</w:t>
      </w:r>
      <w:proofErr w:type="spellEnd"/>
      <w:r w:rsidRPr="00DD7357">
        <w:rPr>
          <w:lang w:val="en-US"/>
        </w:rPr>
        <w:t xml:space="preserve">, J. P., &amp; Sigfusdottir, I. D. (2020). Active and passive social media use and symptoms of anxiety and depressed mood among Icelandic adolescents. </w:t>
      </w:r>
      <w:r w:rsidRPr="00DD7357">
        <w:rPr>
          <w:i/>
          <w:iCs/>
          <w:lang w:val="en-US"/>
        </w:rPr>
        <w:t>Cyberpsychology, Behavior, and Social Networking, 22</w:t>
      </w:r>
      <w:r w:rsidRPr="00DD7357">
        <w:rPr>
          <w:lang w:val="en-US"/>
        </w:rPr>
        <w:t>(8), 535–542. https://doi.org/10.1089/cyber.2019.0079</w:t>
      </w:r>
    </w:p>
    <w:p w14:paraId="54F02E24" w14:textId="77777777" w:rsidR="001A4A8D" w:rsidRPr="00DD7357" w:rsidRDefault="007141C1">
      <w:pPr>
        <w:ind w:left="720" w:hanging="720"/>
        <w:rPr>
          <w:lang w:val="en-US"/>
        </w:rPr>
      </w:pPr>
      <w:r w:rsidRPr="00DD7357">
        <w:rPr>
          <w:lang w:val="en-US"/>
        </w:rPr>
        <w:t xml:space="preserve">U.S. Surgeon General. (2023). </w:t>
      </w:r>
      <w:r w:rsidRPr="00DD7357">
        <w:rPr>
          <w:i/>
          <w:iCs/>
          <w:lang w:val="en-US"/>
        </w:rPr>
        <w:t>Social media and youth mental health: The U.S. Surgeon General’s Advisory</w:t>
      </w:r>
      <w:r w:rsidRPr="00DD7357">
        <w:rPr>
          <w:lang w:val="en-US"/>
        </w:rPr>
        <w:t>. U.S. Department of Health and Human Services.</w:t>
      </w:r>
    </w:p>
    <w:p w14:paraId="1D270B8C" w14:textId="77777777" w:rsidR="001A4A8D" w:rsidRDefault="007141C1">
      <w:pPr>
        <w:ind w:left="720" w:hanging="720"/>
      </w:pPr>
      <w:proofErr w:type="spellStart"/>
      <w:r w:rsidRPr="00DD7357">
        <w:rPr>
          <w:lang w:val="en-US"/>
        </w:rPr>
        <w:t>Zinbarg</w:t>
      </w:r>
      <w:proofErr w:type="spellEnd"/>
      <w:r w:rsidRPr="00DD7357">
        <w:rPr>
          <w:lang w:val="en-US"/>
        </w:rPr>
        <w:t xml:space="preserve">, R. E., Barlow, D. H., &amp; Brown, T. A. (1997). Hierarchical structure and general factor saturation of the Anxiety Sensitivity Index: Evidence and implications. </w:t>
      </w:r>
      <w:proofErr w:type="spellStart"/>
      <w:r>
        <w:rPr>
          <w:i/>
          <w:iCs/>
        </w:rPr>
        <w:t>Psychological</w:t>
      </w:r>
      <w:proofErr w:type="spellEnd"/>
      <w:r>
        <w:rPr>
          <w:i/>
          <w:iCs/>
        </w:rPr>
        <w:t xml:space="preserve"> </w:t>
      </w:r>
      <w:proofErr w:type="spellStart"/>
      <w:r>
        <w:rPr>
          <w:i/>
          <w:iCs/>
        </w:rPr>
        <w:t>Assessment</w:t>
      </w:r>
      <w:proofErr w:type="spellEnd"/>
      <w:r>
        <w:rPr>
          <w:i/>
          <w:iCs/>
        </w:rPr>
        <w:t>, 9</w:t>
      </w:r>
      <w:r>
        <w:t>(3), 277–284. https://doi.org/10.1037/1040-3590.9.3.277</w:t>
      </w:r>
    </w:p>
    <w:sectPr w:rsidR="001A4A8D">
      <w:head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A35E224" w14:textId="77777777" w:rsidR="00A142A4" w:rsidRDefault="00A142A4">
      <w:r>
        <w:separator/>
      </w:r>
    </w:p>
  </w:endnote>
  <w:endnote w:type="continuationSeparator" w:id="0">
    <w:p w14:paraId="41F60C7B" w14:textId="77777777" w:rsidR="00A142A4" w:rsidRDefault="00A142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BD5342E" w14:textId="77777777" w:rsidR="00A142A4" w:rsidRDefault="00A142A4">
      <w:r>
        <w:separator/>
      </w:r>
    </w:p>
  </w:footnote>
  <w:footnote w:type="continuationSeparator" w:id="0">
    <w:p w14:paraId="1B9F802B" w14:textId="77777777" w:rsidR="00A142A4" w:rsidRDefault="00A142A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AC21B6" w14:textId="77777777" w:rsidR="001A4A8D" w:rsidRDefault="007141C1">
    <w:pPr>
      <w:tabs>
        <w:tab w:val="right" w:pos="9026"/>
      </w:tabs>
    </w:pPr>
    <w:r>
      <w:rPr>
        <w:sz w:val="20"/>
        <w:szCs w:val="20"/>
      </w:rPr>
      <w:t xml:space="preserve">USO DE </w:t>
    </w:r>
    <w:proofErr w:type="gramStart"/>
    <w:r>
      <w:rPr>
        <w:sz w:val="20"/>
        <w:szCs w:val="20"/>
      </w:rPr>
      <w:t>REDES SOCIALES Y PREOCUPACIÓN SOCIAL</w:t>
    </w:r>
    <w:proofErr w:type="gramEnd"/>
    <w:r>
      <w:rPr>
        <w:sz w:val="20"/>
        <w:szCs w:val="20"/>
      </w:rPr>
      <w:t xml:space="preserve"> ANSIOSA</w:t>
    </w:r>
    <w:r>
      <w:rPr>
        <w:sz w:val="20"/>
        <w:szCs w:val="20"/>
      </w:rPr>
      <w:tab/>
    </w:r>
    <w:r>
      <w:rPr>
        <w:sz w:val="20"/>
        <w:szCs w:val="20"/>
      </w:rPr>
      <w:tab/>
    </w:r>
    <w:r>
      <w:rPr>
        <w:sz w:val="20"/>
        <w:szCs w:val="20"/>
      </w:rPr>
      <w:fldChar w:fldCharType="begin"/>
    </w:r>
    <w:r>
      <w:rPr>
        <w:sz w:val="20"/>
        <w:szCs w:val="20"/>
      </w:rPr>
      <w:instrText>PAGE</w:instrText>
    </w:r>
    <w:r>
      <w:rPr>
        <w:sz w:val="20"/>
        <w:szCs w:val="20"/>
      </w:rPr>
      <w:fldChar w:fldCharType="separate"/>
    </w:r>
    <w:r w:rsidR="00DD7357">
      <w:rPr>
        <w:noProof/>
        <w:sz w:val="20"/>
        <w:szCs w:val="20"/>
      </w:rPr>
      <w:t>1</w:t>
    </w:r>
    <w:r>
      <w:rPr>
        <w:sz w:val="20"/>
        <w:szCs w:val="20"/>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DAF1837"/>
    <w:multiLevelType w:val="hybridMultilevel"/>
    <w:tmpl w:val="46CC7E0A"/>
    <w:lvl w:ilvl="0" w:tplc="C7D6D40A">
      <w:start w:val="1"/>
      <w:numFmt w:val="bullet"/>
      <w:lvlText w:val="●"/>
      <w:lvlJc w:val="left"/>
      <w:pPr>
        <w:ind w:left="720" w:hanging="360"/>
      </w:pPr>
    </w:lvl>
    <w:lvl w:ilvl="1" w:tplc="348A0EC4">
      <w:start w:val="1"/>
      <w:numFmt w:val="bullet"/>
      <w:lvlText w:val="○"/>
      <w:lvlJc w:val="left"/>
      <w:pPr>
        <w:ind w:left="1440" w:hanging="360"/>
      </w:pPr>
    </w:lvl>
    <w:lvl w:ilvl="2" w:tplc="BD028642">
      <w:start w:val="1"/>
      <w:numFmt w:val="bullet"/>
      <w:lvlText w:val="■"/>
      <w:lvlJc w:val="left"/>
      <w:pPr>
        <w:ind w:left="2160" w:hanging="360"/>
      </w:pPr>
    </w:lvl>
    <w:lvl w:ilvl="3" w:tplc="2F80BBEA">
      <w:start w:val="1"/>
      <w:numFmt w:val="bullet"/>
      <w:lvlText w:val="●"/>
      <w:lvlJc w:val="left"/>
      <w:pPr>
        <w:ind w:left="2880" w:hanging="360"/>
      </w:pPr>
    </w:lvl>
    <w:lvl w:ilvl="4" w:tplc="80EAF35E">
      <w:start w:val="1"/>
      <w:numFmt w:val="bullet"/>
      <w:lvlText w:val="○"/>
      <w:lvlJc w:val="left"/>
      <w:pPr>
        <w:ind w:left="3600" w:hanging="360"/>
      </w:pPr>
    </w:lvl>
    <w:lvl w:ilvl="5" w:tplc="0D001DF0">
      <w:start w:val="1"/>
      <w:numFmt w:val="bullet"/>
      <w:lvlText w:val="■"/>
      <w:lvlJc w:val="left"/>
      <w:pPr>
        <w:ind w:left="4320" w:hanging="360"/>
      </w:pPr>
    </w:lvl>
    <w:lvl w:ilvl="6" w:tplc="F1A4EB2C">
      <w:start w:val="1"/>
      <w:numFmt w:val="bullet"/>
      <w:lvlText w:val="●"/>
      <w:lvlJc w:val="left"/>
      <w:pPr>
        <w:ind w:left="5040" w:hanging="360"/>
      </w:pPr>
    </w:lvl>
    <w:lvl w:ilvl="7" w:tplc="A100ED9A">
      <w:start w:val="1"/>
      <w:numFmt w:val="bullet"/>
      <w:lvlText w:val="●"/>
      <w:lvlJc w:val="left"/>
      <w:pPr>
        <w:ind w:left="5760" w:hanging="360"/>
      </w:pPr>
    </w:lvl>
    <w:lvl w:ilvl="8" w:tplc="AC469FBC">
      <w:start w:val="1"/>
      <w:numFmt w:val="bullet"/>
      <w:lvlText w:val="●"/>
      <w:lvlJc w:val="left"/>
      <w:pPr>
        <w:ind w:left="6480" w:hanging="360"/>
      </w:pPr>
    </w:lvl>
  </w:abstractNum>
  <w:num w:numId="1" w16cid:durableId="66578613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4A8D"/>
    <w:rsid w:val="000F3554"/>
    <w:rsid w:val="0014010C"/>
    <w:rsid w:val="001A4A8D"/>
    <w:rsid w:val="004210F1"/>
    <w:rsid w:val="007141C1"/>
    <w:rsid w:val="00731A6E"/>
    <w:rsid w:val="008037A1"/>
    <w:rsid w:val="00A142A4"/>
    <w:rsid w:val="00DD7357"/>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446426"/>
  <w15:docId w15:val="{B5F3753D-08EF-420D-839F-C02A3B13E1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s-AR" w:eastAsia="es-A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136</TotalTime>
  <Pages>12</Pages>
  <Words>4639</Words>
  <Characters>25519</Characters>
  <Application>Microsoft Office Word</Application>
  <DocSecurity>0</DocSecurity>
  <Lines>212</Lines>
  <Paragraphs>60</Paragraphs>
  <ScaleCrop>false</ScaleCrop>
  <HeadingPairs>
    <vt:vector size="2" baseType="variant">
      <vt:variant>
        <vt:lpstr>Título</vt:lpstr>
      </vt:variant>
      <vt:variant>
        <vt:i4>1</vt:i4>
      </vt:variant>
    </vt:vector>
  </HeadingPairs>
  <TitlesOfParts>
    <vt:vector size="1" baseType="lpstr">
      <vt:lpstr>Reporte TP Estadística - Psicología</vt:lpstr>
    </vt:vector>
  </TitlesOfParts>
  <Company/>
  <LinksUpToDate>false</LinksUpToDate>
  <CharactersWithSpaces>30098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Reporte TP Estadística - Psicología</dc:title>
  <dc:creator>Claude</dc:creator>
  <cp:lastModifiedBy>Franco Mendez Casariego</cp:lastModifiedBy>
  <cp:revision>3</cp:revision>
  <dcterms:created xsi:type="dcterms:W3CDTF">2026-05-25T04:59:00Z</dcterms:created>
  <dcterms:modified xsi:type="dcterms:W3CDTF">2026-05-28T02:40:00Z</dcterms:modified>
</cp:coreProperties>
</file>