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6" w:name="X18d2c6bff00fd99dd405388864591e83938be04"/>
    <w:p>
      <w:pPr>
        <w:pStyle w:val="Heading1"/>
      </w:pPr>
      <w:r>
        <w:t xml:space="preserve">U03 — Teorías y modelos sobre razonamiento · Ficha de repaso</w:t>
      </w:r>
    </w:p>
    <w:p>
      <w:pPr>
        <w:pStyle w:val="RecuadroIdea"/>
      </w:pPr>
      <w:r>
        <w:rPr>
          <w:b/>
          <w:bCs/>
        </w:rPr>
        <w:t xml:space="preserve">Idea-fuerza:</w:t>
      </w:r>
      <w:r>
        <w:t xml:space="preserve"> </w:t>
      </w:r>
      <w:r>
        <w:t xml:space="preserve">razonar no es aplicar reglas lógicas abstractas: el desempeño cambia con el contenido y el contexto. De ahí las alternativas (modelos mentales, esquemas pragmáticos, contrato social, sesgos y heurísticos, teoría heurístico-analítica) y la propuesta de Quiroga de explicar el formato cognitivo con la lógica default (Valiña y Martín, 2014, pp. 3-4; Quiroga, 2013, pp. 1, 12).</w:t>
      </w:r>
    </w:p>
    <w:p>
      <w:pPr>
        <w:pStyle w:val="BodyText"/>
      </w:pPr>
      <w:r>
        <w:drawing>
          <wp:inline>
            <wp:extent cx="5759999" cy="2475918"/>
            <wp:effectExtent b="0" l="0" r="0" t="0"/>
            <wp:docPr descr="Aproximaciones teóricas del razonamiento" title="" id="10" name="Picture"/>
            <a:graphic>
              <a:graphicData uri="http://schemas.openxmlformats.org/drawingml/2006/picture">
                <pic:pic>
                  <pic:nvPicPr>
                    <pic:cNvPr descr="C:/Users/Fmendezcasariego/OneDrive/Carpetas/Educación/Universidad/Favaloro/Psicología/2do%20Año/Procesos%20Básicos%20III/3_Guias_de_Estudio/_media/U03_TeoriasYModelosSobreRazonamiento_02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999" cy="24759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12" w:name="esqueletos-de-respuesta"/>
    <w:p>
      <w:pPr>
        <w:pStyle w:val="Heading2"/>
      </w:pPr>
      <w:r>
        <w:t xml:space="preserve">Esqueletos de respuesta</w:t>
      </w:r>
    </w:p>
    <w:p>
      <w:pPr>
        <w:pStyle w:val="FirstParagraph"/>
      </w:pPr>
      <w:r>
        <w:rPr>
          <w:b/>
          <w:bCs/>
        </w:rPr>
        <w:t xml:space="preserve">P1. Reglas formales y críticas.</w:t>
      </w:r>
      <w:r>
        <w:t xml:space="preserve"> </w:t>
      </w:r>
      <w:r>
        <w:t xml:space="preserve">(1) Razonar = aplicar reglas formales de propósito general. (2) Tres pasos: forma lógica → reglas → conclusión (Cárdenas Poveda, 2026b, diapositiva 8). (3) Platón, Inhelder y Piaget, Henle, lógicas naturales (Valiña y Martín, 2014, pp. 3-4). (4) Evidencia fronto-parietal (Quiroga, 2013, pp. 4-5). (5) Críticas: 40-70 % de éxito, contenido, Wason, competencia/actuación (Cárdenas Poveda, 2026b, diapositivas 26-27).</w:t>
      </w:r>
    </w:p>
    <w:p>
      <w:pPr>
        <w:pStyle w:val="BodyText"/>
      </w:pPr>
      <w:r>
        <w:rPr>
          <w:b/>
          <w:bCs/>
        </w:rPr>
        <w:t xml:space="preserve">P2. Reglas vs. modelos mentales.</w:t>
      </w:r>
      <w:r>
        <w:t xml:space="preserve"> </w:t>
      </w:r>
      <w:r>
        <w:t xml:space="preserve">(1) Sintáctica vs. semántica. (2) Modelos: representaciones de situaciones; válido si no hay contraejemplo (Cárdenas Poveda, 2026b, diapositivas 31, 34). (3) A-B-C y Antonela-Messi: MPP fácil, MTT difícil (diapositivas 33, 35-37). (4) Errores: pasos vs. modelos y memoria de trabajo (Valiña y Martín, 2014, p. 18). (5) Ninguna explica el formato cognitivo (Quiroga, 2013, p. 12).</w:t>
      </w:r>
    </w:p>
    <w:p>
      <w:pPr>
        <w:pStyle w:val="BodyText"/>
      </w:pPr>
      <w:r>
        <w:rPr>
          <w:b/>
          <w:bCs/>
        </w:rPr>
        <w:t xml:space="preserve">P3. Esquemas pragmáticos.</w:t>
      </w:r>
      <w:r>
        <w:t xml:space="preserve"> </w:t>
      </w:r>
      <w:r>
        <w:t xml:space="preserve">(1) Esquemas abstractos inducidos (Valiña y Martín, 2014, p. 9). (2) Permiso P1-P4; obligación O1-O4; causales y FAC (pp. 10-12). (3) Críticas: presentación, lógica deóntica, perspectiva y respuestas (pp. 12-15). (4) Contrato social.</w:t>
      </w:r>
    </w:p>
    <w:p>
      <w:pPr>
        <w:pStyle w:val="BodyText"/>
      </w:pPr>
      <w:r>
        <w:rPr>
          <w:b/>
          <w:bCs/>
        </w:rPr>
        <w:t xml:space="preserve">P4. Evans y racionalidad.</w:t>
      </w:r>
      <w:r>
        <w:t xml:space="preserve"> </w:t>
      </w:r>
      <w:r>
        <w:t xml:space="preserve">(1) Piensan selectivamente. (2) Estadio heurístico (relevancia) y analítico (Valiña y Martín, 2014, pp. 19-20). (3) Sesgos y heurísticos (p. 19). (4) Racionalidad de propósito vs. de proceso (p. 21).</w:t>
      </w:r>
    </w:p>
    <w:p>
      <w:pPr>
        <w:pStyle w:val="BodyText"/>
      </w:pPr>
      <w:r>
        <w:rPr>
          <w:b/>
          <w:bCs/>
        </w:rPr>
        <w:t xml:space="preserve">P5. Hipotético-deductivo y formal.</w:t>
      </w:r>
      <w:r>
        <w:t xml:space="preserve"> </w:t>
      </w:r>
      <w:r>
        <w:t xml:space="preserve">(1) Operatorio formal desde los 11 años. (2) Tres etapas y control de variables (Cárdenas Poveda, 2026b, diapositiva 5). (3) Operaciones de segundo orden (diapositiva 6).</w:t>
      </w:r>
    </w:p>
    <w:p>
      <w:pPr>
        <w:pStyle w:val="BodyText"/>
      </w:pPr>
      <w:r>
        <w:rPr>
          <w:b/>
          <w:bCs/>
        </w:rPr>
        <w:t xml:space="preserve">P6. Condicional.</w:t>
      </w:r>
      <w:r>
        <w:t xml:space="preserve"> </w:t>
      </w:r>
      <w:r>
        <w:t xml:space="preserve">(1) Falso solo con V-F. (2) MPP y MTT válidas; FAC y FNA falacias (Cárdenas Poveda, 2026b, diapositivas 14-18).</w:t>
      </w:r>
    </w:p>
    <w:p>
      <w:pPr>
        <w:pStyle w:val="BodyText"/>
      </w:pPr>
      <w:r>
        <w:rPr>
          <w:b/>
          <w:bCs/>
        </w:rPr>
        <w:t xml:space="preserve">P7. Quiroga.</w:t>
      </w:r>
      <w:r>
        <w:t xml:space="preserve"> </w:t>
      </w:r>
      <w:r>
        <w:t xml:space="preserve">(1) Formato cognitivo (Quiroga, 2013, p. 3). (2) Lógica default: conclusiones revisables (p. 14). (3) Implicaturas conversacionales (pp. 17-18). (4) Redes neurales y ACT-R (pp. 19-21).</w:t>
      </w:r>
    </w:p>
    <w:bookmarkEnd w:id="12"/>
    <w:bookmarkStart w:id="13" w:name="no-confundir"/>
    <w:p>
      <w:pPr>
        <w:pStyle w:val="Heading2"/>
      </w:pPr>
      <w:r>
        <w:t xml:space="preserve">No confundir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Criterio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MPP afirma el antecedente; FAC afirma el consecuente y no permite concluir (Cárdenas Poveda, 2026b, diapositivas 15, 17)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MTT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MTT niega el consecuente; FNA niega el antecedente (Cárdenas Poveda, 2026b, diapositivas 16, 18)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Esquemas pragmáticos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Contrato social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Inducidos, condición-acción vs. innatos, costo-beneficio (Valiña y Martín, 2014, p. 17)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Sesgo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Irracionalidad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Error sistemático respecto de una norma (Valiña y Martín, 2014, p. 19)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Competencia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Actuación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 que puede hacer vs. cómo lo hace (Cárdenas Poveda, 2026b, diapositiva 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Lógica clásica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Lógica 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Monótona y preserva la verdad vs. revisable e informacional (Quiroga, 2013, p. 14)</w:t>
            </w:r>
          </w:p>
        </w:tc>
      </w:tr>
    </w:tbl>
    <w:bookmarkEnd w:id="13"/>
    <w:bookmarkStart w:id="14" w:name="referencias"/>
    <w:p>
      <w:pPr>
        <w:pStyle w:val="Heading2"/>
      </w:pPr>
      <w:r>
        <w:t xml:space="preserve">Referencias</w:t>
      </w:r>
    </w:p>
    <w:p>
      <w:pPr>
        <w:pStyle w:val="Compact"/>
        <w:numPr>
          <w:ilvl w:val="0"/>
          <w:numId w:val="1001"/>
        </w:numPr>
      </w:pPr>
      <w:r>
        <w:t xml:space="preserve">Cárdenas Poveda, C. (2026b).</w:t>
      </w:r>
      <w:r>
        <w:t xml:space="preserve"> </w:t>
      </w:r>
      <w:r>
        <w:rPr>
          <w:i/>
          <w:iCs/>
        </w:rPr>
        <w:t xml:space="preserve">Teorías y modelos sobre razonamiento</w:t>
      </w:r>
      <w:r>
        <w:t xml:space="preserve"> </w:t>
      </w:r>
      <w:r>
        <w:t xml:space="preserve">[Diapositivas de clase: Pensamiento, Clase 02]. Procesos Básicos III, Universidad Favaloro.</w:t>
      </w:r>
    </w:p>
    <w:p>
      <w:pPr>
        <w:pStyle w:val="Compact"/>
        <w:numPr>
          <w:ilvl w:val="0"/>
          <w:numId w:val="1001"/>
        </w:numPr>
      </w:pPr>
      <w:r>
        <w:t xml:space="preserve">Quiroga, L. (2013). Razonamiento y representaciones mentales: Los límites entre lógica y psicología.</w:t>
      </w:r>
      <w:r>
        <w:t xml:space="preserve"> </w:t>
      </w:r>
      <w:r>
        <w:rPr>
          <w:i/>
          <w:iCs/>
        </w:rPr>
        <w:t xml:space="preserve">Praxis. Revista de Psicología, 15</w:t>
      </w:r>
      <w:r>
        <w:t xml:space="preserve">(23), 69-92.</w:t>
      </w:r>
    </w:p>
    <w:p>
      <w:pPr>
        <w:pStyle w:val="Compact"/>
        <w:numPr>
          <w:ilvl w:val="0"/>
          <w:numId w:val="1001"/>
        </w:numPr>
      </w:pPr>
      <w:r>
        <w:t xml:space="preserve">Valiña, M. D., y Martín, M. (2014). Razonamiento pragmático. En M. Carretero y M. Asensio (Coords.),</w:t>
      </w:r>
      <w:r>
        <w:t xml:space="preserve"> </w:t>
      </w:r>
      <w:r>
        <w:rPr>
          <w:i/>
          <w:iCs/>
        </w:rPr>
        <w:t xml:space="preserve">Psicología del pensamiento: Teoría y prácticas</w:t>
      </w:r>
      <w:r>
        <w:t xml:space="preserve"> </w:t>
      </w:r>
      <w:r>
        <w:t xml:space="preserve">(cap. 6, pp. 1-22). Alianza.</w:t>
      </w:r>
    </w:p>
    <w:bookmarkEnd w:id="14"/>
    <w:bookmarkStart w:id="15" w:name="autoevaluación-rápida"/>
    <w:p>
      <w:pPr>
        <w:pStyle w:val="Heading2"/>
      </w:pPr>
      <w:r>
        <w:t xml:space="preserve">Autoevaluación rápida</w:t>
      </w:r>
    </w:p>
    <w:p>
      <w:pPr>
        <w:pStyle w:val="Compact"/>
        <w:numPr>
          <w:ilvl w:val="0"/>
          <w:numId w:val="1002"/>
        </w:numPr>
      </w:pPr>
      <w:r>
        <w:t xml:space="preserve">¿Cuándo es falso un condicional?</w:t>
      </w:r>
    </w:p>
    <w:p>
      <w:pPr>
        <w:pStyle w:val="Compact"/>
        <w:numPr>
          <w:ilvl w:val="0"/>
          <w:numId w:val="1002"/>
        </w:numPr>
      </w:pPr>
      <w:r>
        <w:t xml:space="preserve">¿Cuál es la respuesta correcta en la tarea E-K-4-7 y por qué?</w:t>
      </w:r>
    </w:p>
    <w:p>
      <w:pPr>
        <w:pStyle w:val="Compact"/>
        <w:numPr>
          <w:ilvl w:val="0"/>
          <w:numId w:val="1002"/>
        </w:numPr>
      </w:pPr>
      <w:r>
        <w:t xml:space="preserve">¿Cuándo es válido un argumento para los modelos mentales?</w:t>
      </w:r>
    </w:p>
    <w:p>
      <w:pPr>
        <w:pStyle w:val="Compact"/>
        <w:numPr>
          <w:ilvl w:val="0"/>
          <w:numId w:val="1002"/>
        </w:numPr>
      </w:pPr>
      <w:r>
        <w:t xml:space="preserve">¿Por qué el MTT es más difícil que el MPP con modelos mentales?</w:t>
      </w:r>
    </w:p>
    <w:bookmarkEnd w:id="15"/>
    <w:bookmarkEnd w:id="16"/>
    <w:sectPr>
      <w:headerReference r:id="rIdHdr1" w:type="default"/>
      <w:footerReference r:id="rIdFtr1" w:type="default"/>
      <w:pgSz w:h="16838" w:w="11906"/>
      <w:pgMar w:bottom="720" w:footer="397" w:gutter="0" w:header="397" w:left="720" w:right="1701" w:top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pStyle w:val="PieGuia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/ </w:t>
    </w:r>
    <w:r>
      <w:fldChar w:fldCharType="begin"/>
    </w:r>
    <w:r>
      <w:instrText xml:space="preserve"> NUMPAGES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>
  <w:p>
    <w:pPr>
      <w:pStyle w:val="EncabezadoGuia"/>
    </w:pPr>
    <w:r>
      <w:t xml:space="preserve">U03 — Teorías y modelos sobre razonamiento · Ficha de repaso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20" w:line="276" w:lineRule="auto"/>
      <w:jc w:val="both"/>
    </w:pPr>
    <w:rPr>
      <w:rFonts w:ascii="Calibri" w:hAnsi="Calibri"/>
      <w:color w:val="14202B"/>
      <w:sz w:val="22"/>
    </w:rPr>
  </w:style>
  <w:style w:styleId="BodyText" w:type="paragraph">
    <w:name w:val="Body Text"/>
    <w:basedOn w:val="Normal"/>
    <w:link w:val="BodyTextChar"/>
    <w:pPr>
      <w:spacing w:after="120" w:before="180" w:line="276" w:lineRule="auto"/>
    </w:pPr>
    <w:qFormat/>
    <w:rPr>
      <w:rFonts w:ascii="Calibri" w:hAnsi="Calibri"/>
      <w:color w:val="14202B"/>
      <w:sz w:val="22"/>
    </w:rPr>
  </w:style>
  <w:style w:customStyle="1" w:styleId="FirstParagraph" w:type="paragraph">
    <w:name w:val="First Paragraph"/>
    <w:basedOn w:val="BodyText"/>
    <w:next w:val="BodyText"/>
    <w:qFormat/>
    <w:pPr>
      <w:spacing w:after="120" w:line="276" w:lineRule="auto"/>
    </w:pPr>
    <w:rPr>
      <w:rFonts w:ascii="Calibri" w:hAnsi="Calibri"/>
      <w:color w:val="14202B"/>
      <w:sz w:val="22"/>
    </w:rPr>
  </w:style>
  <w:style w:customStyle="1" w:styleId="Compact" w:type="paragraph">
    <w:name w:val="Compact"/>
    <w:basedOn w:val="BodyText"/>
    <w:qFormat/>
    <w:pPr>
      <w:spacing w:after="120" w:before="36" w:line="276" w:lineRule="auto"/>
    </w:pPr>
    <w:rPr>
      <w:rFonts w:ascii="Calibri" w:hAnsi="Calibri"/>
      <w:color w:val="14202B"/>
      <w:sz w:val="22"/>
    </w:rPr>
  </w:style>
  <w:style w:styleId="Title" w:type="paragraph">
    <w:name w:val="Title"/>
    <w:basedOn w:val="Normal"/>
    <w:next w:val="BodyText"/>
    <w:qFormat/>
    <w:pPr>
      <w:keepNext/>
      <w:keepLines/>
      <w:spacing w:after="80" w:before="200"/>
      <w:jc w:val="left"/>
    </w:pPr>
    <w:rPr>
      <w:rFonts w:ascii="Calibri" w:asciiTheme="majorHAnsi" w:cstheme="majorBidi" w:eastAsiaTheme="majorEastAsia" w:hAnsi="Calibri" w:hAnsiTheme="majorHAnsi"/>
      <w:b/>
      <w:bCs/>
      <w:color w:val="0F6B66"/>
      <w:sz w:val="44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left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left"/>
    </w:pPr>
  </w:style>
  <w:style w:styleId="Date" w:type="paragraph">
    <w:name w:val="Date"/>
    <w:next w:val="BodyText"/>
    <w:qFormat/>
    <w:pPr>
      <w:keepNext/>
      <w:keepLines/>
      <w:jc w:val="left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left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80" w:before="280"/>
      <w:jc w:val="left"/>
      <w:outlineLvl w:val="0"/>
    </w:pPr>
    <w:rPr>
      <w:rFonts w:ascii="Calibri" w:asciiTheme="majorHAnsi" w:cstheme="majorBidi" w:eastAsiaTheme="majorEastAsia" w:hAnsi="Calibri" w:hAnsiTheme="majorHAnsi"/>
      <w:b/>
      <w:bCs/>
      <w:color w:val="0F6B66"/>
      <w:sz w:val="36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80" w:before="280"/>
      <w:jc w:val="left"/>
      <w:outlineLvl w:val="1"/>
    </w:pPr>
    <w:rPr>
      <w:rFonts w:ascii="Calibri" w:asciiTheme="majorHAnsi" w:cstheme="majorBidi" w:eastAsiaTheme="majorEastAsia" w:hAnsi="Calibri" w:hAnsiTheme="majorHAnsi"/>
      <w:b/>
      <w:bCs/>
      <w:color w:val="0F6B66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80" w:before="200"/>
      <w:jc w:val="left"/>
      <w:outlineLvl w:val="2"/>
    </w:pPr>
    <w:rPr>
      <w:rFonts w:ascii="Calibri" w:asciiTheme="majorHAnsi" w:cstheme="majorBidi" w:eastAsiaTheme="majorEastAsia" w:hAnsi="Calibri" w:hAnsiTheme="majorHAnsi"/>
      <w:b/>
      <w:bCs/>
      <w:color w:val="0F6B66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80" w:before="200"/>
      <w:jc w:val="left"/>
      <w:outlineLvl w:val="3"/>
    </w:pPr>
    <w:rPr>
      <w:rFonts w:ascii="Calibri" w:asciiTheme="majorHAnsi" w:cstheme="majorBidi" w:eastAsiaTheme="majorEastAsia" w:hAnsi="Calibri" w:hAnsiTheme="majorHAnsi"/>
      <w:i/>
      <w:b/>
      <w:bCs/>
      <w:color w:val="14202B"/>
      <w:sz w:val="22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jc w:val="left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jc w:val="left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jc w:val="left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jc w:val="left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jc w:val="left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pBdr>
        <w:left w:color="C9D1D9" w:space="8" w:sz="12" w:val="single"/>
      </w:pBdr>
      <w:spacing w:after="100" w:before="100"/>
      <w:ind w:firstLine="0" w:left="454" w:right="480"/>
    </w:pPr>
    <w:rPr>
      <w:rFonts w:ascii="Calibri" w:hAnsi="Calibri"/>
      <w:color w:val="5D6B78"/>
      <w:sz w:val="21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  <w:jc w:val="left"/>
    </w:pPr>
    <w:rPr>
      <w:i/>
      <w:color w:val="5D6B78"/>
      <w:sz w:val="18"/>
    </w:rPr>
  </w:style>
  <w:style w:customStyle="1" w:styleId="TableCaption" w:type="paragraph">
    <w:name w:val="Table Caption"/>
    <w:basedOn w:val="Caption"/>
    <w:pPr>
      <w:keepNext/>
      <w:jc w:val="left"/>
    </w:pPr>
    <w:rPr>
      <w:color w:val="5D6B78"/>
      <w:sz w:val="18"/>
    </w:rPr>
  </w:style>
  <w:style w:customStyle="1" w:styleId="ImageCaption" w:type="paragraph">
    <w:name w:val="Image Caption"/>
    <w:basedOn w:val="Caption"/>
    <w:pPr>
      <w:jc w:val="left"/>
    </w:pPr>
    <w:rPr>
      <w:color w:val="5D6B78"/>
      <w:sz w:val="18"/>
    </w:rPr>
  </w:style>
  <w:style w:customStyle="1" w:styleId="Figure" w:type="paragraph">
    <w:name w:val="Figure"/>
    <w:basedOn w:val="Normal"/>
    <w:pPr>
      <w:jc w:val="center"/>
    </w:pPr>
  </w:style>
  <w:style w:customStyle="1" w:styleId="CaptionedFigure" w:type="paragraph">
    <w:name w:val="Captioned Figure"/>
    <w:basedOn w:val="Figure"/>
    <w:pPr>
      <w:keepNext/>
      <w:jc w:val="center"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jc w:val="left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RecuadroIdea" w:type="paragraph">
    <w:name w:val="Recuadro Idea"/>
    <w:basedOn w:val="BodyText"/>
    <w:uiPriority w:val="10"/>
    <w:qFormat/>
    <w:pPr>
      <w:pBdr>
        <w:top w:color="EAF2FC" w:space="4" w:sz="4" w:val="single"/>
        <w:left w:color="2F6DB5" w:space="8" w:sz="24" w:val="single"/>
        <w:bottom w:color="EAF2FC" w:space="4" w:sz="4" w:val="single"/>
        <w:right w:color="EAF2FC" w:space="8" w:sz="4" w:val="single"/>
      </w:pBdr>
      <w:shd w:color="auto" w:fill="EAF2FC" w:val="clear"/>
      <w:spacing w:after="40" w:before="40" w:line="264" w:lineRule="auto"/>
      <w:ind w:left="227" w:right="227"/>
    </w:pPr>
    <w:rPr>
      <w:color w:val="14202B"/>
      <w:sz w:val="21"/>
      <w:szCs w:val="21"/>
    </w:rPr>
  </w:style>
  <w:style w:customStyle="1" w:styleId="RecuadroClave" w:type="paragraph">
    <w:name w:val="Recuadro Clave"/>
    <w:basedOn w:val="BodyText"/>
    <w:uiPriority w:val="10"/>
    <w:qFormat/>
    <w:pPr>
      <w:pBdr>
        <w:top w:color="FFF6DC" w:space="4" w:sz="4" w:val="single"/>
        <w:left w:color="D9A21B" w:space="8" w:sz="24" w:val="single"/>
        <w:bottom w:color="FFF6DC" w:space="4" w:sz="4" w:val="single"/>
        <w:right w:color="FFF6DC" w:space="8" w:sz="4" w:val="single"/>
      </w:pBdr>
      <w:shd w:color="auto" w:fill="FFF6DC" w:val="clear"/>
      <w:spacing w:after="40" w:before="40" w:line="264" w:lineRule="auto"/>
      <w:ind w:left="227" w:right="227"/>
    </w:pPr>
    <w:rPr>
      <w:color w:val="14202B"/>
      <w:sz w:val="21"/>
      <w:szCs w:val="21"/>
    </w:rPr>
  </w:style>
  <w:style w:customStyle="1" w:styleId="RecuadroParcial" w:type="paragraph">
    <w:name w:val="Recuadro Parcial"/>
    <w:basedOn w:val="BodyText"/>
    <w:uiPriority w:val="10"/>
    <w:qFormat/>
    <w:pPr>
      <w:pBdr>
        <w:top w:color="E8F5EC" w:space="4" w:sz="4" w:val="single"/>
        <w:left w:color="2E8B57" w:space="8" w:sz="24" w:val="single"/>
        <w:bottom w:color="E8F5EC" w:space="4" w:sz="4" w:val="single"/>
        <w:right w:color="E8F5EC" w:space="8" w:sz="4" w:val="single"/>
      </w:pBdr>
      <w:shd w:color="auto" w:fill="E8F5EC" w:val="clear"/>
      <w:spacing w:after="40" w:before="40" w:line="264" w:lineRule="auto"/>
      <w:ind w:left="227" w:right="227"/>
    </w:pPr>
    <w:rPr>
      <w:color w:val="14202B"/>
      <w:sz w:val="21"/>
      <w:szCs w:val="21"/>
    </w:rPr>
  </w:style>
  <w:style w:customStyle="1" w:styleId="RecuadroEsqueleto" w:type="paragraph">
    <w:name w:val="Recuadro Esqueleto"/>
    <w:basedOn w:val="BodyText"/>
    <w:uiPriority w:val="10"/>
    <w:qFormat/>
    <w:pPr>
      <w:pBdr>
        <w:top w:color="E3F2F1" w:space="4" w:sz="4" w:val="single"/>
        <w:left w:color="0F6B66" w:space="8" w:sz="24" w:val="single"/>
        <w:bottom w:color="E3F2F1" w:space="4" w:sz="4" w:val="single"/>
        <w:right w:color="E3F2F1" w:space="8" w:sz="4" w:val="single"/>
      </w:pBdr>
      <w:shd w:color="auto" w:fill="E3F2F1" w:val="clear"/>
      <w:spacing w:after="40" w:before="40" w:line="264" w:lineRule="auto"/>
      <w:ind w:left="227" w:right="227"/>
    </w:pPr>
    <w:rPr>
      <w:color w:val="14202B"/>
      <w:sz w:val="21"/>
      <w:szCs w:val="21"/>
    </w:rPr>
  </w:style>
  <w:style w:customStyle="1" w:styleId="RecuadroAtencion" w:type="paragraph">
    <w:name w:val="Recuadro Atencion"/>
    <w:basedOn w:val="BodyText"/>
    <w:uiPriority w:val="10"/>
    <w:qFormat/>
    <w:pPr>
      <w:pBdr>
        <w:top w:color="FDECEA" w:space="4" w:sz="4" w:val="single"/>
        <w:left w:color="C0392B" w:space="8" w:sz="24" w:val="single"/>
        <w:bottom w:color="FDECEA" w:space="4" w:sz="4" w:val="single"/>
        <w:right w:color="FDECEA" w:space="8" w:sz="4" w:val="single"/>
      </w:pBdr>
      <w:shd w:color="auto" w:fill="FDECEA" w:val="clear"/>
      <w:spacing w:after="40" w:before="40" w:line="264" w:lineRule="auto"/>
      <w:ind w:left="227" w:right="227"/>
    </w:pPr>
    <w:rPr>
      <w:color w:val="14202B"/>
      <w:sz w:val="21"/>
      <w:szCs w:val="21"/>
    </w:rPr>
  </w:style>
  <w:style w:customStyle="1" w:styleId="RecuadroComplemento" w:type="paragraph">
    <w:name w:val="Recuadro Complemento"/>
    <w:basedOn w:val="BodyText"/>
    <w:uiPriority w:val="10"/>
    <w:qFormat/>
    <w:pPr>
      <w:pBdr>
        <w:top w:color="F2F4F6" w:space="4" w:sz="4" w:val="single"/>
        <w:left w:color="8A96A3" w:space="8" w:sz="24" w:val="single"/>
        <w:bottom w:color="F2F4F6" w:space="4" w:sz="4" w:val="single"/>
        <w:right w:color="F2F4F6" w:space="8" w:sz="4" w:val="single"/>
      </w:pBdr>
      <w:shd w:color="auto" w:fill="F2F4F6" w:val="clear"/>
      <w:spacing w:after="40" w:before="40" w:line="264" w:lineRule="auto"/>
      <w:ind w:left="227" w:right="227"/>
    </w:pPr>
    <w:rPr>
      <w:color w:val="3D4A57"/>
      <w:sz w:val="21"/>
      <w:szCs w:val="21"/>
    </w:rPr>
  </w:style>
  <w:style w:customStyle="1" w:styleId="RecuadroFuente" w:type="paragraph">
    <w:name w:val="Recuadro Fuente"/>
    <w:basedOn w:val="BodyText"/>
    <w:uiPriority w:val="10"/>
    <w:qFormat/>
    <w:pPr>
      <w:pBdr>
        <w:top w:color="F7F8FA" w:space="4" w:sz="4" w:val="single"/>
        <w:left w:color="C9D1D9" w:space="8" w:sz="24" w:val="single"/>
        <w:bottom w:color="F7F8FA" w:space="4" w:sz="4" w:val="single"/>
        <w:right w:color="F7F8FA" w:space="8" w:sz="4" w:val="single"/>
      </w:pBdr>
      <w:shd w:color="auto" w:fill="F7F8FA" w:val="clear"/>
      <w:spacing w:after="40" w:before="40" w:line="264" w:lineRule="auto"/>
      <w:ind w:left="227" w:right="227"/>
    </w:pPr>
    <w:rPr>
      <w:color w:val="3D4A57"/>
      <w:sz w:val="19"/>
      <w:szCs w:val="19"/>
    </w:rPr>
  </w:style>
  <w:style w:customStyle="1" w:styleId="EncabezadoGuia" w:type="paragraph">
    <w:name w:val="Encabezado guia"/>
    <w:basedOn w:val="Normal"/>
    <w:pPr>
      <w:pBdr>
        <w:bottom w:color="C9D1D9" w:space="2" w:sz="4" w:val="single"/>
      </w:pBdr>
      <w:jc w:val="right"/>
      <w:spacing w:after="0"/>
    </w:pPr>
    <w:rPr>
      <w:color w:val="5D6B78"/>
      <w:sz w:val="17"/>
    </w:rPr>
  </w:style>
  <w:style w:customStyle="1" w:styleId="PieGuia" w:type="paragraph">
    <w:name w:val="Pie guia"/>
    <w:basedOn w:val="Normal"/>
    <w:pPr>
      <w:jc w:val="center"/>
      <w:spacing w:after="0"/>
    </w:pPr>
    <w:rPr>
      <w:color w:val="5D6B78"/>
      <w:sz w:val="17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Id="rIdHdr1" Target="header1.xml" Type="http://schemas.openxmlformats.org/officeDocument/2006/relationships/header" /><Relationship Id="rIdFtr1" Target="footer1.xml" Type="http://schemas.openxmlformats.org/officeDocument/2006/relationships/footer" /><Relationship Type="http://schemas.openxmlformats.org/officeDocument/2006/relationships/image" Id="rId9" Target="media/rId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2026-10-09T19:33:07Z</dcterms:created>
  <dcterms:modified xsi:type="dcterms:W3CDTF">2026-10-09T19:33:07Z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in_saltos">
    <vt:lpwstr>True</vt:lpwstr>
  </property>
</Properties>
</file>