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626b0cbed553260f52124c121ee6c52047e2e9a"/>
    <w:p>
      <w:pPr>
        <w:pStyle w:val="Heading1"/>
      </w:pPr>
      <w:r>
        <w:t xml:space="preserve">U03 — Introducción al estudio del pensamiento · Ficha de repaso</w:t>
      </w:r>
    </w:p>
    <w:p>
      <w:pPr>
        <w:pStyle w:val="RecuadroIdea"/>
      </w:pPr>
      <w:r>
        <w:rPr>
          <w:b/>
          <w:bCs/>
        </w:rPr>
        <w:t xml:space="preserve">Idea-fuerza:</w:t>
      </w:r>
      <w:r>
        <w:t xml:space="preserve"> </w:t>
      </w:r>
      <w:r>
        <w:t xml:space="preserve">la psicología del pensamiento es la historia de cómo cada escuela definió su</w:t>
      </w:r>
      <w:r>
        <w:t xml:space="preserve"> </w:t>
      </w:r>
      <w:r>
        <w:rPr>
          <w:b/>
          <w:bCs/>
        </w:rPr>
        <w:t xml:space="preserve">objeto</w:t>
      </w:r>
      <w:r>
        <w:t xml:space="preserve"> </w:t>
      </w:r>
      <w:r>
        <w:t xml:space="preserve">y su</w:t>
      </w:r>
      <w:r>
        <w:t xml:space="preserve"> </w:t>
      </w:r>
      <w:r>
        <w:rPr>
          <w:b/>
          <w:bCs/>
        </w:rPr>
        <w:t xml:space="preserve">método</w:t>
      </w:r>
      <w:r>
        <w:t xml:space="preserve">, y qué lugar le dejó al pensamiento: consciencia e introspección (Wundt, Titchener, Wurzburgo) → conducta y método objetivo (conductismo) → totalidad e insight (Gestalt) → procesamiento de la información (cognitiva), que recupera lo mental con el método objetivo (González Labra, s. f., pp. 4, 17-18).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Escuela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Lugar del pensamiento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Wundt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Consciencia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Introspección controlada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Excluido; apercepción (González Labra, s. f., pp. 4-5)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Titchener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Sensaciones, imágenes, emociones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Introspección analítica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Ideas = imágenes = sensaciones (pp. 5, 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Wurzburgo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Procesos de pensamiento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Introspección en tareas complejas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Directivo e inconsciente (p. 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Conductismo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Conducta observable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Observación objetiva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Lenguaje subvocal, refuerzos (pp. 8,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Experiencia como un 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Descriptivo, fenomenológico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Productivo, insight (p. 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Cognitiva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Procesos mentales como cómputo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Experimental, simulación, protocolos verbales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Inferencia, heurísticos (pp. 14-16, 18)</w:t>
            </w:r>
          </w:p>
        </w:tc>
      </w:tr>
    </w:tbl>
    <w:bookmarkStart w:id="9" w:name="esqueletos-de-respuesta"/>
    <w:p>
      <w:pPr>
        <w:pStyle w:val="Heading2"/>
      </w:pPr>
      <w:r>
        <w:t xml:space="preserve">Esqueletos de respuesta</w:t>
      </w:r>
    </w:p>
    <w:p>
      <w:pPr>
        <w:pStyle w:val="FirstParagraph"/>
      </w:pPr>
      <w:r>
        <w:rPr>
          <w:b/>
          <w:bCs/>
        </w:rPr>
        <w:t xml:space="preserve">P1. Wundt, Titchener y Wurzburgo.</w:t>
      </w:r>
      <w:r>
        <w:t xml:space="preserve"> </w:t>
      </w:r>
      <w:r>
        <w:t xml:space="preserve">(1) Tesis: mismo objeto (consciencia) y método (introspección), distinta definición. (2) Wundt: apercepción, introspección controlada; excluye el pensamiento (González Labra, s. f., pp. 4-5). (3) Titchener: estructuralismo, introspección analítica, error estimular (p. 5). (4) Külpe: tendencia determinante y pensamiento sin imágenes (p. 6). (5) Polémica y tres críticas a la introspección. (6) Cierre: del contenido a las funciones; el plan de la cognitiva (p. 16).</w:t>
      </w:r>
    </w:p>
    <w:p>
      <w:pPr>
        <w:pStyle w:val="BodyText"/>
      </w:pPr>
      <w:r>
        <w:rPr>
          <w:b/>
          <w:bCs/>
        </w:rPr>
        <w:t xml:space="preserve">P2. Conductismo.</w:t>
      </w:r>
      <w:r>
        <w:t xml:space="preserve"> </w:t>
      </w:r>
      <w:r>
        <w:t xml:space="preserve">(1) Objeto público, método objetivo. (2) Watson: lenguaje subvocal, Pavlov y Thorndike (González Labra, s. f., p. 8). (3) Tolman (constructos hipotéticos) vs. Hull (variables intervinientes) (p. 9). (4) Skinner: destierro (p. 10). (5) Miller, Kendler y Kendler: respuesta mediadora (p. 10). (6) Cierre: conservaron el método, abandonaron supuestos.</w:t>
      </w:r>
    </w:p>
    <w:p>
      <w:pPr>
        <w:pStyle w:val="BodyText"/>
      </w:pPr>
      <w:r>
        <w:rPr>
          <w:b/>
          <w:bCs/>
        </w:rPr>
        <w:t xml:space="preserve">P3. Gestalt.</w:t>
      </w:r>
      <w:r>
        <w:t xml:space="preserve"> </w:t>
      </w:r>
      <w:r>
        <w:t xml:space="preserve">(1) El todo, campo en conflicto (González Labra, s. f., p. 11). (2) Productivo vs. reproductivo, insight. (3) Crítica a Thorndike, isomorfismo, Duncker y protocolos verbales. (4) Críticas y aportes (Cárdenas Poveda, 2026a, diapositiva 18). (5) Precursora de la cognitiva (González Labra, s. f., p. 12).</w:t>
      </w:r>
    </w:p>
    <w:p>
      <w:pPr>
        <w:pStyle w:val="BodyText"/>
      </w:pPr>
      <w:r>
        <w:rPr>
          <w:b/>
          <w:bCs/>
        </w:rPr>
        <w:t xml:space="preserve">P4. Turing, Shannon, Wiener.</w:t>
      </w:r>
      <w:r>
        <w:t xml:space="preserve"> </w:t>
      </w:r>
      <w:r>
        <w:t xml:space="preserve">(1) Mente como procesador de información. (2) Turing: cómputo simbólico (González Labra, s. f., p. 12). (3) Shannon: información binaria, bit (p. 13). (4) Wiener: retroalimentación, señales de error, dos sentidos de «información» (p. 13). (5) Planes y metas sin homúnculo; Newell y Simon (p. 14). (6) Algoritmo vs. heurístico.</w:t>
      </w:r>
    </w:p>
    <w:p>
      <w:pPr>
        <w:pStyle w:val="BodyText"/>
      </w:pPr>
      <w:r>
        <w:rPr>
          <w:b/>
          <w:bCs/>
        </w:rPr>
        <w:t xml:space="preserve">P5. Pensamiento y tres áreas.</w:t>
      </w:r>
      <w:r>
        <w:t xml:space="preserve"> </w:t>
      </w:r>
      <w:r>
        <w:t xml:space="preserve">(1) Definición (Cárdenas Poveda, 2026a, diapositiva 4). (2) Razonamiento deductivo/inductivo (diapositivas 5-6). (3) Problema: Duncker y Lester (diapositiva 7). (4) Toma de decisiones. (5) Inferencia; propósito vs. intencionalidad (González Labra, s. f., pp. 15-16).</w:t>
      </w:r>
    </w:p>
    <w:p>
      <w:pPr>
        <w:pStyle w:val="BodyText"/>
      </w:pPr>
      <w:r>
        <w:rPr>
          <w:b/>
          <w:bCs/>
        </w:rPr>
        <w:t xml:space="preserve">P6. Concepciones actuales.</w:t>
      </w:r>
      <w:r>
        <w:t xml:space="preserve"> </w:t>
      </w:r>
      <w:r>
        <w:t xml:space="preserve">(1) Formales (Platón). (2) Dominio específico: esquemas pragmáticos, contrato social. (3) Modelos mentales (semántico). (4) Perspectivas (Tversky y Kahneman). (5) Marcador somático (Damasio) (Cárdenas Poveda, 2026a, diapositivas 21-25).</w:t>
      </w:r>
    </w:p>
    <w:bookmarkEnd w:id="9"/>
    <w:bookmarkStart w:id="10" w:name="no-confundir"/>
    <w:p>
      <w:pPr>
        <w:pStyle w:val="Heading2"/>
      </w:pPr>
      <w:r>
        <w:t xml:space="preserve">No confundir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Introspección de Wundt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Introspección analítica de Titchener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Controlada y holista vs. retrospectiva, entrenada y reduccionista (González Labra, s. f., p. 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interviniente (Hull)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Constructo hipotético (Tolman)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Definida operativamente y periférica vs. mentalista y central (González Labra, s. f., p. 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el productivo implica insight (González Labra, s. f., p. 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Protocolo verbal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Introspección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Verbaliza planes, sin entrenamiento (González Labra, s. f., p. 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Intencionalidad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lo deliberado es intencional, no al revés (González Labra, s. f., p. 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Garantiza y es costoso vs. aproximado y económico (González Labra, s. f., pp. 14-16)</w:t>
            </w:r>
          </w:p>
        </w:tc>
      </w:tr>
    </w:tbl>
    <w:bookmarkEnd w:id="10"/>
    <w:bookmarkStart w:id="11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1"/>
        </w:numPr>
      </w:pPr>
      <w:r>
        <w:t xml:space="preserve">Cárdenas Poveda, C. (2026a).</w:t>
      </w:r>
      <w:r>
        <w:t xml:space="preserve"> </w:t>
      </w:r>
      <w:r>
        <w:rPr>
          <w:i/>
          <w:iCs/>
        </w:rPr>
        <w:t xml:space="preserve">Introducción: Desarrollo del estudio del pensamiento en psicología, desde enfoques clásicos a modelos contemporáneos</w:t>
      </w:r>
      <w:r>
        <w:t xml:space="preserve"> </w:t>
      </w:r>
      <w:r>
        <w:t xml:space="preserve">[Diapositivas de clase: Pensamiento, Clase 01]. Procesos Básicos III, Universidad Favaloro.</w:t>
      </w:r>
    </w:p>
    <w:p>
      <w:pPr>
        <w:pStyle w:val="Compact"/>
        <w:numPr>
          <w:ilvl w:val="0"/>
          <w:numId w:val="1001"/>
        </w:numPr>
      </w:pPr>
      <w:r>
        <w:t xml:space="preserve">González Labra, M. J. (s. f.). Psicología del pensamiento: Esbozo histórico. En</w:t>
      </w:r>
      <w:r>
        <w:t xml:space="preserve"> </w:t>
      </w:r>
      <w:r>
        <w:rPr>
          <w:i/>
          <w:iCs/>
        </w:rPr>
        <w:t xml:space="preserve">Psicología del pensamiento</w:t>
      </w:r>
      <w:r>
        <w:t xml:space="preserve"> </w:t>
      </w:r>
      <w:r>
        <w:t xml:space="preserve">(cap. 1, pp. 1-22). UNED.</w:t>
      </w:r>
    </w:p>
    <w:bookmarkEnd w:id="11"/>
    <w:bookmarkStart w:id="12" w:name="autoevaluación-rápida"/>
    <w:p>
      <w:pPr>
        <w:pStyle w:val="Heading2"/>
      </w:pPr>
      <w:r>
        <w:t xml:space="preserve">Autoevaluación rápida</w:t>
      </w:r>
    </w:p>
    <w:p>
      <w:pPr>
        <w:pStyle w:val="Compact"/>
        <w:numPr>
          <w:ilvl w:val="0"/>
          <w:numId w:val="1002"/>
        </w:numPr>
      </w:pPr>
      <w:r>
        <w:t xml:space="preserve">¿Por qué Wundt excluyó el pensamiento del laboratorio?</w:t>
      </w:r>
    </w:p>
    <w:p>
      <w:pPr>
        <w:pStyle w:val="Compact"/>
        <w:numPr>
          <w:ilvl w:val="0"/>
          <w:numId w:val="1002"/>
        </w:numPr>
      </w:pPr>
      <w:r>
        <w:t xml:space="preserve">¿Qué hallazgos de Wurzburgo desacreditaron la introspección analítica?</w:t>
      </w:r>
    </w:p>
    <w:p>
      <w:pPr>
        <w:pStyle w:val="Compact"/>
        <w:numPr>
          <w:ilvl w:val="0"/>
          <w:numId w:val="1002"/>
        </w:numPr>
      </w:pPr>
      <w:r>
        <w:t xml:space="preserve">¿Cómo explicaba Watson el pensamiento?</w:t>
      </w:r>
    </w:p>
    <w:p>
      <w:pPr>
        <w:pStyle w:val="Compact"/>
        <w:numPr>
          <w:ilvl w:val="0"/>
          <w:numId w:val="1002"/>
        </w:numPr>
      </w:pPr>
      <w:r>
        <w:t xml:space="preserve">¿Qué refutaron Kendler y Kendler?</w:t>
      </w:r>
    </w:p>
    <w:bookmarkEnd w:id="12"/>
    <w:bookmarkEnd w:id="13"/>
    <w:sectPr>
      <w:headerReference r:id="rIdHdr1" w:type="default"/>
      <w:footerReference r:id="rIdFtr1" w:type="default"/>
      <w:pgSz w:h="16838" w:w="11906"/>
      <w:pgMar w:bottom="720" w:footer="397" w:gutter="0" w:header="397" w:left="720" w:right="1701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PieGuia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Guia"/>
    </w:pPr>
    <w:r>
      <w:t xml:space="preserve">U03 — Introducción al estudio del pensamiento · Ficha de repaso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  <w:jc w:val="both"/>
    </w:pPr>
    <w:rPr>
      <w:rFonts w:ascii="Calibri" w:hAnsi="Calibri"/>
      <w:color w:val="14202B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hAnsi="Calibri"/>
      <w:color w:val="14202B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/>
      <w:color w:val="14202B"/>
      <w:sz w:val="22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hAnsi="Calibri"/>
      <w:color w:val="1420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00"/>
      <w:jc w:val="left"/>
    </w:pPr>
    <w:rPr>
      <w:rFonts w:ascii="Calibri" w:asciiTheme="majorHAnsi" w:cstheme="majorBidi" w:eastAsiaTheme="majorEastAsia" w:hAnsi="Calibri" w:hAnsiTheme="majorHAnsi"/>
      <w:b/>
      <w:bCs/>
      <w:color w:val="0F6B66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left"/>
    </w:pPr>
  </w:style>
  <w:style w:styleId="Date" w:type="paragraph">
    <w:name w:val="Date"/>
    <w:next w:val="BodyText"/>
    <w:qFormat/>
    <w:pPr>
      <w:keepNext/>
      <w:keepLines/>
      <w:jc w:val="left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jc w:val="left"/>
      <w:outlineLvl w:val="0"/>
    </w:pPr>
    <w:rPr>
      <w:rFonts w:ascii="Calibri" w:asciiTheme="majorHAnsi" w:cstheme="majorBidi" w:eastAsiaTheme="majorEastAsia" w:hAnsi="Calibri" w:hAnsiTheme="majorHAnsi"/>
      <w:b/>
      <w:bCs/>
      <w:color w:val="0F6B66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jc w:val="left"/>
      <w:outlineLvl w:val="1"/>
    </w:pPr>
    <w:rPr>
      <w:rFonts w:ascii="Calibri" w:asciiTheme="majorHAnsi" w:cstheme="majorBidi" w:eastAsiaTheme="majorEastAsia" w:hAnsi="Calibri" w:hAnsiTheme="majorHAnsi"/>
      <w:b/>
      <w:bCs/>
      <w:color w:val="0F6B6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Calibri" w:asciiTheme="majorHAnsi" w:cstheme="majorBidi" w:eastAsiaTheme="majorEastAsia" w:hAnsi="Calibri" w:hAnsiTheme="majorHAnsi"/>
      <w:b/>
      <w:bCs/>
      <w:color w:val="0F6B6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3"/>
    </w:pPr>
    <w:rPr>
      <w:rFonts w:ascii="Calibri" w:asciiTheme="majorHAnsi" w:cstheme="majorBidi" w:eastAsiaTheme="majorEastAsia" w:hAnsi="Calibri" w:hAnsiTheme="majorHAnsi"/>
      <w:i/>
      <w:b/>
      <w:bCs/>
      <w:color w:val="14202B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D1D9" w:space="8" w:sz="12" w:val="single"/>
      </w:pBdr>
      <w:spacing w:after="100" w:before="100"/>
      <w:ind w:firstLine="0" w:left="454" w:right="480"/>
    </w:pPr>
    <w:rPr>
      <w:rFonts w:ascii="Calibri" w:hAnsi="Calibri"/>
      <w:color w:val="5D6B78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left"/>
    </w:pPr>
    <w:rPr>
      <w:i/>
      <w:color w:val="5D6B78"/>
      <w:sz w:val="18"/>
    </w:rPr>
  </w:style>
  <w:style w:customStyle="1" w:styleId="TableCaption" w:type="paragraph">
    <w:name w:val="Table Caption"/>
    <w:basedOn w:val="Caption"/>
    <w:pPr>
      <w:keepNext/>
      <w:jc w:val="left"/>
    </w:pPr>
    <w:rPr>
      <w:color w:val="5D6B78"/>
      <w:sz w:val="18"/>
    </w:rPr>
  </w:style>
  <w:style w:customStyle="1" w:styleId="ImageCaption" w:type="paragraph">
    <w:name w:val="Image Caption"/>
    <w:basedOn w:val="Caption"/>
    <w:pPr>
      <w:jc w:val="left"/>
    </w:pPr>
    <w:rPr>
      <w:color w:val="5D6B78"/>
      <w:sz w:val="18"/>
    </w:r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Idea" w:type="paragraph">
    <w:name w:val="Recuadro Idea"/>
    <w:basedOn w:val="BodyText"/>
    <w:uiPriority w:val="10"/>
    <w:qFormat/>
    <w:pPr>
      <w:pBdr>
        <w:top w:color="EAF2FC" w:space="4" w:sz="4" w:val="single"/>
        <w:left w:color="2F6DB5" w:space="8" w:sz="24" w:val="single"/>
        <w:bottom w:color="EAF2FC" w:space="4" w:sz="4" w:val="single"/>
        <w:right w:color="EAF2FC" w:space="8" w:sz="4" w:val="single"/>
      </w:pBdr>
      <w:shd w:color="auto" w:fill="EAF2F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lave" w:type="paragraph">
    <w:name w:val="Recuadro Clave"/>
    <w:basedOn w:val="BodyText"/>
    <w:uiPriority w:val="10"/>
    <w:qFormat/>
    <w:pPr>
      <w:pBdr>
        <w:top w:color="FFF6DC" w:space="4" w:sz="4" w:val="single"/>
        <w:left w:color="D9A21B" w:space="8" w:sz="24" w:val="single"/>
        <w:bottom w:color="FFF6DC" w:space="4" w:sz="4" w:val="single"/>
        <w:right w:color="FFF6DC" w:space="8" w:sz="4" w:val="single"/>
      </w:pBdr>
      <w:shd w:color="auto" w:fill="FFF6D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Parcial" w:type="paragraph">
    <w:name w:val="Recuadro Parcial"/>
    <w:basedOn w:val="BodyText"/>
    <w:uiPriority w:val="10"/>
    <w:qFormat/>
    <w:pPr>
      <w:pBdr>
        <w:top w:color="E8F5EC" w:space="4" w:sz="4" w:val="single"/>
        <w:left w:color="2E8B57" w:space="8" w:sz="24" w:val="single"/>
        <w:bottom w:color="E8F5EC" w:space="4" w:sz="4" w:val="single"/>
        <w:right w:color="E8F5EC" w:space="8" w:sz="4" w:val="single"/>
      </w:pBdr>
      <w:shd w:color="auto" w:fill="E8F5E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Esqueleto" w:type="paragraph">
    <w:name w:val="Recuadro Esqueleto"/>
    <w:basedOn w:val="BodyText"/>
    <w:uiPriority w:val="10"/>
    <w:qFormat/>
    <w:pPr>
      <w:pBdr>
        <w:top w:color="E3F2F1" w:space="4" w:sz="4" w:val="single"/>
        <w:left w:color="0F6B66" w:space="8" w:sz="24" w:val="single"/>
        <w:bottom w:color="E3F2F1" w:space="4" w:sz="4" w:val="single"/>
        <w:right w:color="E3F2F1" w:space="8" w:sz="4" w:val="single"/>
      </w:pBdr>
      <w:shd w:color="auto" w:fill="E3F2F1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Atencion" w:type="paragraph">
    <w:name w:val="Recuadro Atencion"/>
    <w:basedOn w:val="BodyText"/>
    <w:uiPriority w:val="10"/>
    <w:qFormat/>
    <w:pPr>
      <w:pBdr>
        <w:top w:color="FDECEA" w:space="4" w:sz="4" w:val="single"/>
        <w:left w:color="C0392B" w:space="8" w:sz="24" w:val="single"/>
        <w:bottom w:color="FDECEA" w:space="4" w:sz="4" w:val="single"/>
        <w:right w:color="FDECEA" w:space="8" w:sz="4" w:val="single"/>
      </w:pBdr>
      <w:shd w:color="auto" w:fill="FDECEA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omplemento" w:type="paragraph">
    <w:name w:val="Recuadro Complemento"/>
    <w:basedOn w:val="BodyText"/>
    <w:uiPriority w:val="10"/>
    <w:qFormat/>
    <w:pPr>
      <w:pBdr>
        <w:top w:color="F2F4F6" w:space="4" w:sz="4" w:val="single"/>
        <w:left w:color="8A96A3" w:space="8" w:sz="24" w:val="single"/>
        <w:bottom w:color="F2F4F6" w:space="4" w:sz="4" w:val="single"/>
        <w:right w:color="F2F4F6" w:space="8" w:sz="4" w:val="single"/>
      </w:pBdr>
      <w:shd w:color="auto" w:fill="F2F4F6" w:val="clear"/>
      <w:spacing w:after="40" w:before="40" w:line="264" w:lineRule="auto"/>
      <w:ind w:left="227" w:right="227"/>
    </w:pPr>
    <w:rPr>
      <w:color w:val="3D4A57"/>
      <w:sz w:val="21"/>
      <w:szCs w:val="21"/>
    </w:rPr>
  </w:style>
  <w:style w:customStyle="1" w:styleId="RecuadroFuente" w:type="paragraph">
    <w:name w:val="Recuadro Fuente"/>
    <w:basedOn w:val="BodyText"/>
    <w:uiPriority w:val="10"/>
    <w:qFormat/>
    <w:pPr>
      <w:pBdr>
        <w:top w:color="F7F8FA" w:space="4" w:sz="4" w:val="single"/>
        <w:left w:color="C9D1D9" w:space="8" w:sz="24" w:val="single"/>
        <w:bottom w:color="F7F8FA" w:space="4" w:sz="4" w:val="single"/>
        <w:right w:color="F7F8FA" w:space="8" w:sz="4" w:val="single"/>
      </w:pBdr>
      <w:shd w:color="auto" w:fill="F7F8FA" w:val="clear"/>
      <w:spacing w:after="40" w:before="40" w:line="264" w:lineRule="auto"/>
      <w:ind w:left="227" w:right="227"/>
    </w:pPr>
    <w:rPr>
      <w:color w:val="3D4A57"/>
      <w:sz w:val="19"/>
      <w:szCs w:val="19"/>
    </w:rPr>
  </w:style>
  <w:style w:customStyle="1" w:styleId="EncabezadoGuia" w:type="paragraph">
    <w:name w:val="Encabezado guia"/>
    <w:basedOn w:val="Normal"/>
    <w:pPr>
      <w:pBdr>
        <w:bottom w:color="C9D1D9" w:space="2" w:sz="4" w:val="single"/>
      </w:pBdr>
      <w:jc w:val="right"/>
      <w:spacing w:after="0"/>
    </w:pPr>
    <w:rPr>
      <w:color w:val="5D6B78"/>
      <w:sz w:val="17"/>
    </w:rPr>
  </w:style>
  <w:style w:customStyle="1" w:styleId="PieGuia" w:type="paragraph">
    <w:name w:val="Pie guia"/>
    <w:basedOn w:val="Normal"/>
    <w:pPr>
      <w:jc w:val="center"/>
      <w:spacing w:after="0"/>
    </w:pPr>
    <w:rPr>
      <w:color w:val="5D6B78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Ftr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2026-10-09T19:32:14Z</dcterms:created>
  <dcterms:modified xsi:type="dcterms:W3CDTF">2026-10-09T19:32:14Z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n_saltos">
    <vt:lpwstr>True</vt:lpwstr>
  </property>
</Properties>
</file>