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93c7bec72bb347027241936b442dff6bf3a6848"/>
    <w:p>
      <w:pPr>
        <w:pStyle w:val="Heading1"/>
      </w:pPr>
      <w:r>
        <w:t xml:space="preserve">U03 — Solución de problemas · Ficha de repaso</w:t>
      </w:r>
    </w:p>
    <w:p>
      <w:pPr>
        <w:pStyle w:val="RecuadroIdea"/>
      </w:pPr>
      <w:r>
        <w:rPr>
          <w:b/>
          <w:bCs/>
        </w:rPr>
        <w:t xml:space="preserve">Idea-fuerza:</w:t>
      </w:r>
      <w:r>
        <w:t xml:space="preserve"> </w:t>
      </w:r>
      <w:r>
        <w:t xml:space="preserve">un problema es una meta que no sabemos cómo alcanzar sin un camino rápido; se estudió como reestructuración súbita (Gestalt), como búsqueda en un espacio del problema con heurísticos generales (procesamiento de la información) y como habilidad específica de dominio que depende del conocimiento y del control metacognitivo (expertos y novatos) (Cárdenas Poveda, 2026c, diapositivas 14, 16-17; Pérez Echeverría, 2014, pp. 19-20).</w:t>
      </w:r>
    </w:p>
    <w:p>
      <w:pPr>
        <w:pStyle w:val="BodyText"/>
      </w:pPr>
      <w:r>
        <w:drawing>
          <wp:inline>
            <wp:extent cx="5759999" cy="1417959"/>
            <wp:effectExtent b="0" l="0" r="0" t="0"/>
            <wp:docPr descr="Algoritmos, heurísticos y estrategias" title="" id="10" name="Picture"/>
            <a:graphic>
              <a:graphicData uri="http://schemas.openxmlformats.org/drawingml/2006/picture">
                <pic:pic>
                  <pic:nvPicPr>
                    <pic:cNvPr descr="C:/Users/Fmendezcasariego/OneDrive/Carpetas/Educación/Universidad/Favaloro/Psicología/2do%20Año/Procesos%20Básicos%20III/3_Guias_de_Estudio/_media/U03_SolucionDeProblemas_02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14179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2" w:name="esqueletos-de-respuesta"/>
    <w:p>
      <w:pPr>
        <w:pStyle w:val="Heading2"/>
      </w:pPr>
      <w:r>
        <w:t xml:space="preserve">Esqueletos de respuesta</w:t>
      </w:r>
    </w:p>
    <w:p>
      <w:pPr>
        <w:pStyle w:val="FirstParagraph"/>
      </w:pPr>
      <w:r>
        <w:rPr>
          <w:b/>
          <w:bCs/>
        </w:rPr>
        <w:t xml:space="preserve">P1. Problema y ejercicio.</w:t>
      </w:r>
      <w:r>
        <w:t xml:space="preserve"> </w:t>
      </w:r>
      <w:r>
        <w:t xml:space="preserve">(1) Depende de la relación tarea-resolutor (Pérez Echeverría, 2014, p. 3). (2) Duncker y Lester (Cárdenas Poveda, 2026c, diapositiva 14). (3) Ejercicio: mecanismos inmediatos (Pérez Echeverría, 2014, p. 3). (4) Mayer: estado inicial, final, operaciones (Postigo Angón, 2014, p. 7). (5) Lo que es problema para el novato es ejercicio para el experto (Pérez Echeverría, 2014, p. 16).</w:t>
      </w:r>
    </w:p>
    <w:p>
      <w:pPr>
        <w:pStyle w:val="BodyText"/>
      </w:pPr>
      <w:r>
        <w:rPr>
          <w:b/>
          <w:bCs/>
        </w:rPr>
        <w:t xml:space="preserve">P2. Capacidades generales vs. expertos y novatos.</w:t>
      </w:r>
      <w:r>
        <w:t xml:space="preserve"> </w:t>
      </w:r>
      <w:r>
        <w:t xml:space="preserve">(1) TPI: sistema + tarea → espacio del problema; gradual y continuo (Cárdenas Poveda, 2026c, diapositivas 16, 18-19). (2) Expertos: conocimiento específico (diapositiva 17). (3) Sujeto ideal vs. pericia (Pérez Echeverría, 2014, p. 13). (4) No se estudia al margen de quién resuelve (pp. 19-20).</w:t>
      </w:r>
    </w:p>
    <w:p>
      <w:pPr>
        <w:pStyle w:val="BodyText"/>
      </w:pPr>
      <w:r>
        <w:rPr>
          <w:b/>
          <w:bCs/>
        </w:rPr>
        <w:t xml:space="preserve">P3. Medios-fines y Hanoi.</w:t>
      </w:r>
      <w:r>
        <w:t xml:space="preserve"> </w:t>
      </w:r>
      <w:r>
        <w:t xml:space="preserve">(1) Reducir diferencias con submetas (Postigo Angón, 2014, p. 13). (2) 3ⁿ estados, 2ⁿ − 1 movimientos (p. 13). (3) No repetir el mismo disco (p. 15). (4) Subir la cuesta falla en el estado 7 (pp. 12-13).</w:t>
      </w:r>
    </w:p>
    <w:p>
      <w:pPr>
        <w:pStyle w:val="BodyText"/>
      </w:pPr>
      <w:r>
        <w:rPr>
          <w:b/>
          <w:bCs/>
        </w:rPr>
        <w:t xml:space="preserve">P4. Hacia atrás.</w:t>
      </w:r>
      <w:r>
        <w:t xml:space="preserve"> </w:t>
      </w:r>
      <w:r>
        <w:t xml:space="preserve">(1) Desde la meta (Postigo Angón, 2014, p. 16). (2) Meta única; menos caminos (p. 16). (3) Lirios: 59 días; tres partidas: 4, 7, 13 (pp. 16-17).</w:t>
      </w:r>
    </w:p>
    <w:p>
      <w:pPr>
        <w:pStyle w:val="BodyText"/>
      </w:pPr>
      <w:r>
        <w:rPr>
          <w:b/>
          <w:bCs/>
        </w:rPr>
        <w:t xml:space="preserve">P5. Analogías.</w:t>
      </w:r>
      <w:r>
        <w:t xml:space="preserve"> </w:t>
      </w:r>
      <w:r>
        <w:t xml:space="preserve">(1) Detectar, recordar, aplicar (Postigo Angón, 2014, p. 17). (2) Tumor y general (Gick y Holyoak) (p. 18). (3) Semejanzas superficiales vs. estructurales (p. 18). (4) Reed, Ernst y Banerji.</w:t>
      </w:r>
    </w:p>
    <w:p>
      <w:pPr>
        <w:pStyle w:val="BodyText"/>
      </w:pPr>
      <w:r>
        <w:rPr>
          <w:b/>
          <w:bCs/>
        </w:rPr>
        <w:t xml:space="preserve">P6. Representación.</w:t>
      </w:r>
      <w:r>
        <w:t xml:space="preserve"> </w:t>
      </w:r>
      <w:r>
        <w:t xml:space="preserve">(1) Decide casi todo (Postigo Angón, 2014, p. 20). (2) Mayer + atención, recuperación, integración (p. 20). (3) Enciclopedia: 10,5 cm (pp. 20-21). (4) Monje: dos monjes o gráfico (pp. 21-22).</w:t>
      </w:r>
    </w:p>
    <w:p>
      <w:pPr>
        <w:pStyle w:val="BodyText"/>
      </w:pPr>
      <w:r>
        <w:rPr>
          <w:b/>
          <w:bCs/>
        </w:rPr>
        <w:t xml:space="preserve">P7. Expertos y novatos.</w:t>
      </w:r>
      <w:r>
        <w:t xml:space="preserve"> </w:t>
      </w:r>
      <w:r>
        <w:t xml:space="preserve">(1) Conocimiento, no inteligencia general (Pérez Echeverría, 2014, p. 14). (2) Ejercicios: automatización (p. 17). (3) Verdaderos problemas: reflexión y control (p. 18). (4) Técnico vs. estratégico (Postigo Angón, 2014, pp. 24-25).</w:t>
      </w:r>
    </w:p>
    <w:p>
      <w:pPr>
        <w:pStyle w:val="BodyText"/>
      </w:pPr>
      <w:r>
        <w:rPr>
          <w:b/>
          <w:bCs/>
        </w:rPr>
        <w:t xml:space="preserve">P8. Algoritmos y heurísticos.</w:t>
      </w:r>
      <w:r>
        <w:t xml:space="preserve"> </w:t>
      </w:r>
      <w:r>
        <w:t xml:space="preserve">(1) Exhaustivo vs. selectivo (Cárdenas Poveda, 2026c, diapositiva 22). (2) Sistemática (algoritmo). (3) Heurísticos: aleatoria, ensayo y error, subir la cuesta, submetas, medios-fines, hacia atrás, analogías (diapositivas 24-29).</w:t>
      </w:r>
    </w:p>
    <w:bookmarkEnd w:id="12"/>
    <w:bookmarkStart w:id="13" w:name="no-confundir"/>
    <w:p>
      <w:pPr>
        <w:pStyle w:val="Heading2"/>
      </w:pPr>
      <w:r>
        <w:t xml:space="preserve">No confundir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Problema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Ejercicio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camino rápido vs. mecanismo inmediato (Pérez Echeverría, 2014, p. 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Mal definido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Complejo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hay relación biunívoca (Pérez Echeverría, 2014, p. 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Gestalt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Discontinua y súbita vs. gradual y acumulativa (Cárdenas Poveda, 2026c, diapositiva 18)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Búsqueda aleatoria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Ensayo y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Desordenada vs. ordenada con registro (Postigo Angón, 2014, p. 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Subir la cuesta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Medios-fines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acerca vs. reduce diferencias con submetas (Postigo Angón, 2014, pp. 12-13)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Experto técnico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Experto estratégico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Familiar y automatizado vs. nuevo y metacognitivo (Postigo Angón, 2014, pp. 24-25)</w:t>
            </w:r>
          </w:p>
        </w:tc>
      </w:tr>
    </w:tbl>
    <w:bookmarkEnd w:id="13"/>
    <w:bookmarkStart w:id="14" w:name="citas-que-conviene-saber"/>
    <w:p>
      <w:pPr>
        <w:pStyle w:val="Heading2"/>
      </w:pPr>
      <w:r>
        <w:t xml:space="preserve">Citas que conviene saber</w:t>
      </w:r>
    </w:p>
    <w:p>
      <w:pPr>
        <w:pStyle w:val="Compact"/>
        <w:numPr>
          <w:ilvl w:val="0"/>
          <w:numId w:val="1001"/>
        </w:numPr>
      </w:pPr>
      <w:r>
        <w:t xml:space="preserve">«un problema surge cuando un organismo vivo tiene un objetivo y no sabe cómo conseguirlo» (Duncker, 1948, citado en Pérez Echeverría, 2014, p. 3).</w:t>
      </w:r>
    </w:p>
    <w:p>
      <w:pPr>
        <w:pStyle w:val="Compact"/>
        <w:numPr>
          <w:ilvl w:val="0"/>
          <w:numId w:val="1001"/>
        </w:numPr>
      </w:pPr>
      <w:r>
        <w:t xml:space="preserve">«De poco sirven unas buenas estrategias si las aplicamos a un problema que no es</w:t>
      </w:r>
      <w:r>
        <w:t xml:space="preserve"> </w:t>
      </w:r>
      <w:r>
        <w:t xml:space="preserve">“realmente”</w:t>
      </w:r>
      <w:r>
        <w:t xml:space="preserve"> </w:t>
      </w:r>
      <w:r>
        <w:t xml:space="preserve">el que debemos solucionar» (Postigo Angón, 2014, p. 20).</w:t>
      </w:r>
    </w:p>
    <w:bookmarkEnd w:id="14"/>
    <w:bookmarkStart w:id="15" w:name="referencias"/>
    <w:p>
      <w:pPr>
        <w:pStyle w:val="Heading2"/>
      </w:pPr>
      <w:r>
        <w:t xml:space="preserve">Referencias</w:t>
      </w:r>
    </w:p>
    <w:p>
      <w:pPr>
        <w:pStyle w:val="Compact"/>
        <w:numPr>
          <w:ilvl w:val="0"/>
          <w:numId w:val="1002"/>
        </w:numPr>
      </w:pPr>
      <w:r>
        <w:t xml:space="preserve">Cárdenas Poveda, C. (2026c).</w:t>
      </w:r>
      <w:r>
        <w:t xml:space="preserve"> </w:t>
      </w:r>
      <w:r>
        <w:rPr>
          <w:i/>
          <w:iCs/>
        </w:rPr>
        <w:t xml:space="preserve">Razonamiento probabilístico y solución de problemas</w:t>
      </w:r>
      <w:r>
        <w:t xml:space="preserve"> </w:t>
      </w:r>
      <w:r>
        <w:t xml:space="preserve">[Diapositivas de clase: Pensamiento, Clase 03]. Procesos Básicos III, Universidad Favaloro.</w:t>
      </w:r>
    </w:p>
    <w:p>
      <w:pPr>
        <w:pStyle w:val="Compact"/>
        <w:numPr>
          <w:ilvl w:val="0"/>
          <w:numId w:val="1002"/>
        </w:numPr>
      </w:pPr>
      <w:r>
        <w:t xml:space="preserve">Pérez Echeverría, M. P. (2014). Solución de problemas. En M. Carretero y M. Asensio (Coords.),</w:t>
      </w:r>
      <w:r>
        <w:t xml:space="preserve"> </w:t>
      </w:r>
      <w:r>
        <w:rPr>
          <w:i/>
          <w:iCs/>
        </w:rPr>
        <w:t xml:space="preserve">Psicología del pensamiento: Teoría y prácticas</w:t>
      </w:r>
      <w:r>
        <w:t xml:space="preserve"> </w:t>
      </w:r>
      <w:r>
        <w:t xml:space="preserve">(cap. 8, pp. 1-20). Alianza.</w:t>
      </w:r>
    </w:p>
    <w:p>
      <w:pPr>
        <w:pStyle w:val="Compact"/>
        <w:numPr>
          <w:ilvl w:val="0"/>
          <w:numId w:val="1002"/>
        </w:numPr>
      </w:pPr>
      <w:r>
        <w:t xml:space="preserve">Postigo Angón, Y. (2014). Estrategias en solución de problemas. En M. Carretero y M. Asensio (Coords.),</w:t>
      </w:r>
      <w:r>
        <w:t xml:space="preserve"> </w:t>
      </w:r>
      <w:r>
        <w:rPr>
          <w:i/>
          <w:iCs/>
        </w:rPr>
        <w:t xml:space="preserve">Psicología del pensamiento: Teoría y prácticas</w:t>
      </w:r>
      <w:r>
        <w:t xml:space="preserve"> </w:t>
      </w:r>
      <w:r>
        <w:t xml:space="preserve">(cap. 9, pp. 1-28). Alianza.</w:t>
      </w:r>
    </w:p>
    <w:bookmarkEnd w:id="15"/>
    <w:bookmarkStart w:id="16" w:name="autoevaluación-rápida"/>
    <w:p>
      <w:pPr>
        <w:pStyle w:val="Heading2"/>
      </w:pPr>
      <w:r>
        <w:t xml:space="preserve">Autoevaluación rápida</w:t>
      </w:r>
    </w:p>
    <w:p>
      <w:pPr>
        <w:pStyle w:val="Compact"/>
        <w:numPr>
          <w:ilvl w:val="0"/>
          <w:numId w:val="1003"/>
        </w:numPr>
      </w:pPr>
      <w:r>
        <w:t xml:space="preserve">¿Qué dos condiciones definen un problema?</w:t>
      </w:r>
    </w:p>
    <w:p>
      <w:pPr>
        <w:pStyle w:val="Compact"/>
        <w:numPr>
          <w:ilvl w:val="0"/>
          <w:numId w:val="1003"/>
        </w:numPr>
      </w:pPr>
      <w:r>
        <w:t xml:space="preserve">¿Cuántos estados y movimientos mínimos tiene Hanoi con 3 discos?</w:t>
      </w:r>
    </w:p>
    <w:p>
      <w:pPr>
        <w:pStyle w:val="Compact"/>
        <w:numPr>
          <w:ilvl w:val="0"/>
          <w:numId w:val="1003"/>
        </w:numPr>
      </w:pPr>
      <w:r>
        <w:t xml:space="preserve">¿Por qué falla subir la cuesta en misioneros y caníbales?</w:t>
      </w:r>
    </w:p>
    <w:p>
      <w:pPr>
        <w:pStyle w:val="Compact"/>
        <w:numPr>
          <w:ilvl w:val="0"/>
          <w:numId w:val="1003"/>
        </w:numPr>
      </w:pPr>
      <w:r>
        <w:t xml:space="preserve">¿Qué condiciones necesita la búsqueda hacia atrás?</w:t>
      </w:r>
    </w:p>
    <w:p>
      <w:pPr>
        <w:pStyle w:val="Compact"/>
        <w:numPr>
          <w:ilvl w:val="0"/>
          <w:numId w:val="1003"/>
        </w:numPr>
      </w:pPr>
      <w:r>
        <w:t xml:space="preserve">¿Qué mostraron Gick y Holyoak?</w:t>
      </w:r>
    </w:p>
    <w:p>
      <w:pPr>
        <w:pStyle w:val="Compact"/>
        <w:numPr>
          <w:ilvl w:val="0"/>
          <w:numId w:val="1003"/>
        </w:numPr>
      </w:pPr>
      <w:r>
        <w:t xml:space="preserve">¿Por qué la polilla recorre 10,5 cm?</w:t>
      </w:r>
    </w:p>
    <w:bookmarkEnd w:id="16"/>
    <w:bookmarkEnd w:id="17"/>
    <w:sectPr>
      <w:headerReference r:id="rIdHdr1" w:type="default"/>
      <w:footerReference r:id="rIdFtr1" w:type="default"/>
      <w:pgSz w:h="16838" w:w="11906"/>
      <w:pgMar w:bottom="720" w:footer="397" w:gutter="0" w:header="397" w:left="720" w:right="1701" w:top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PieGuia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EncabezadoGuia"/>
    </w:pPr>
    <w:r>
      <w:t xml:space="preserve">U03 — Solución de problemas · Ficha de repaso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276" w:lineRule="auto"/>
      <w:jc w:val="both"/>
    </w:pPr>
    <w:rPr>
      <w:rFonts w:ascii="Calibri" w:hAnsi="Calibri"/>
      <w:color w:val="14202B"/>
      <w:sz w:val="22"/>
    </w:rPr>
  </w:style>
  <w:style w:styleId="BodyText" w:type="paragraph">
    <w:name w:val="Body Text"/>
    <w:basedOn w:val="Normal"/>
    <w:link w:val="BodyTextChar"/>
    <w:pPr>
      <w:spacing w:after="120" w:before="180" w:line="276" w:lineRule="auto"/>
    </w:pPr>
    <w:qFormat/>
    <w:rPr>
      <w:rFonts w:ascii="Calibri" w:hAnsi="Calibri"/>
      <w:color w:val="14202B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after="120" w:line="276" w:lineRule="auto"/>
    </w:pPr>
    <w:rPr>
      <w:rFonts w:ascii="Calibri" w:hAnsi="Calibri"/>
      <w:color w:val="14202B"/>
      <w:sz w:val="22"/>
    </w:rPr>
  </w:style>
  <w:style w:customStyle="1" w:styleId="Compact" w:type="paragraph">
    <w:name w:val="Compact"/>
    <w:basedOn w:val="BodyText"/>
    <w:qFormat/>
    <w:pPr>
      <w:spacing w:after="120" w:before="36" w:line="276" w:lineRule="auto"/>
    </w:pPr>
    <w:rPr>
      <w:rFonts w:ascii="Calibri" w:hAnsi="Calibri"/>
      <w:color w:val="14202B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80" w:before="200"/>
      <w:jc w:val="left"/>
    </w:pPr>
    <w:rPr>
      <w:rFonts w:ascii="Calibri" w:asciiTheme="majorHAnsi" w:cstheme="majorBidi" w:eastAsiaTheme="majorEastAsia" w:hAnsi="Calibri" w:hAnsiTheme="majorHAnsi"/>
      <w:b/>
      <w:bCs/>
      <w:color w:val="0F6B66"/>
      <w:sz w:val="4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left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left"/>
    </w:pPr>
  </w:style>
  <w:style w:styleId="Date" w:type="paragraph">
    <w:name w:val="Date"/>
    <w:next w:val="BodyText"/>
    <w:qFormat/>
    <w:pPr>
      <w:keepNext/>
      <w:keepLines/>
      <w:jc w:val="left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left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80" w:before="280"/>
      <w:jc w:val="left"/>
      <w:outlineLvl w:val="0"/>
    </w:pPr>
    <w:rPr>
      <w:rFonts w:ascii="Calibri" w:asciiTheme="majorHAnsi" w:cstheme="majorBidi" w:eastAsiaTheme="majorEastAsia" w:hAnsi="Calibri" w:hAnsiTheme="majorHAnsi"/>
      <w:b/>
      <w:bCs/>
      <w:color w:val="0F6B66"/>
      <w:sz w:val="36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80" w:before="280"/>
      <w:jc w:val="left"/>
      <w:outlineLvl w:val="1"/>
    </w:pPr>
    <w:rPr>
      <w:rFonts w:ascii="Calibri" w:asciiTheme="majorHAnsi" w:cstheme="majorBidi" w:eastAsiaTheme="majorEastAsia" w:hAnsi="Calibri" w:hAnsiTheme="majorHAnsi"/>
      <w:b/>
      <w:bCs/>
      <w:color w:val="0F6B66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80" w:before="200"/>
      <w:jc w:val="left"/>
      <w:outlineLvl w:val="2"/>
    </w:pPr>
    <w:rPr>
      <w:rFonts w:ascii="Calibri" w:asciiTheme="majorHAnsi" w:cstheme="majorBidi" w:eastAsiaTheme="majorEastAsia" w:hAnsi="Calibri" w:hAnsiTheme="majorHAnsi"/>
      <w:b/>
      <w:bCs/>
      <w:color w:val="0F6B66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80" w:before="200"/>
      <w:jc w:val="left"/>
      <w:outlineLvl w:val="3"/>
    </w:pPr>
    <w:rPr>
      <w:rFonts w:ascii="Calibri" w:asciiTheme="majorHAnsi" w:cstheme="majorBidi" w:eastAsiaTheme="majorEastAsia" w:hAnsi="Calibri" w:hAnsiTheme="majorHAnsi"/>
      <w:i/>
      <w:b/>
      <w:bCs/>
      <w:color w:val="14202B"/>
      <w:sz w:val="22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jc w:val="left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jc w:val="left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jc w:val="left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jc w:val="left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jc w:val="left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pBdr>
        <w:left w:color="C9D1D9" w:space="8" w:sz="12" w:val="single"/>
      </w:pBdr>
      <w:spacing w:after="100" w:before="100"/>
      <w:ind w:firstLine="0" w:left="454" w:right="480"/>
    </w:pPr>
    <w:rPr>
      <w:rFonts w:ascii="Calibri" w:hAnsi="Calibri"/>
      <w:color w:val="5D6B78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  <w:jc w:val="left"/>
    </w:pPr>
    <w:rPr>
      <w:i/>
      <w:color w:val="5D6B78"/>
      <w:sz w:val="18"/>
    </w:rPr>
  </w:style>
  <w:style w:customStyle="1" w:styleId="TableCaption" w:type="paragraph">
    <w:name w:val="Table Caption"/>
    <w:basedOn w:val="Caption"/>
    <w:pPr>
      <w:keepNext/>
      <w:jc w:val="left"/>
    </w:pPr>
    <w:rPr>
      <w:color w:val="5D6B78"/>
      <w:sz w:val="18"/>
    </w:rPr>
  </w:style>
  <w:style w:customStyle="1" w:styleId="ImageCaption" w:type="paragraph">
    <w:name w:val="Image Caption"/>
    <w:basedOn w:val="Caption"/>
    <w:pPr>
      <w:jc w:val="left"/>
    </w:pPr>
    <w:rPr>
      <w:color w:val="5D6B78"/>
      <w:sz w:val="18"/>
    </w:rPr>
  </w:style>
  <w:style w:customStyle="1" w:styleId="Figure" w:type="paragraph">
    <w:name w:val="Figure"/>
    <w:basedOn w:val="Normal"/>
    <w:pPr>
      <w:jc w:val="center"/>
    </w:pPr>
  </w:style>
  <w:style w:customStyle="1" w:styleId="CaptionedFigure" w:type="paragraph">
    <w:name w:val="Captioned Figure"/>
    <w:basedOn w:val="Figure"/>
    <w:pPr>
      <w:keepNext/>
      <w:jc w:val="center"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jc w:val="left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RecuadroIdea" w:type="paragraph">
    <w:name w:val="Recuadro Idea"/>
    <w:basedOn w:val="BodyText"/>
    <w:uiPriority w:val="10"/>
    <w:qFormat/>
    <w:pPr>
      <w:pBdr>
        <w:top w:color="EAF2FC" w:space="4" w:sz="4" w:val="single"/>
        <w:left w:color="2F6DB5" w:space="8" w:sz="24" w:val="single"/>
        <w:bottom w:color="EAF2FC" w:space="4" w:sz="4" w:val="single"/>
        <w:right w:color="EAF2FC" w:space="8" w:sz="4" w:val="single"/>
      </w:pBdr>
      <w:shd w:color="auto" w:fill="EAF2FC" w:val="clear"/>
      <w:spacing w:after="40" w:before="40" w:line="264" w:lineRule="auto"/>
      <w:ind w:left="227" w:right="227"/>
    </w:pPr>
    <w:rPr>
      <w:color w:val="14202B"/>
      <w:sz w:val="21"/>
      <w:szCs w:val="21"/>
    </w:rPr>
  </w:style>
  <w:style w:customStyle="1" w:styleId="RecuadroClave" w:type="paragraph">
    <w:name w:val="Recuadro Clave"/>
    <w:basedOn w:val="BodyText"/>
    <w:uiPriority w:val="10"/>
    <w:qFormat/>
    <w:pPr>
      <w:pBdr>
        <w:top w:color="FFF6DC" w:space="4" w:sz="4" w:val="single"/>
        <w:left w:color="D9A21B" w:space="8" w:sz="24" w:val="single"/>
        <w:bottom w:color="FFF6DC" w:space="4" w:sz="4" w:val="single"/>
        <w:right w:color="FFF6DC" w:space="8" w:sz="4" w:val="single"/>
      </w:pBdr>
      <w:shd w:color="auto" w:fill="FFF6DC" w:val="clear"/>
      <w:spacing w:after="40" w:before="40" w:line="264" w:lineRule="auto"/>
      <w:ind w:left="227" w:right="227"/>
    </w:pPr>
    <w:rPr>
      <w:color w:val="14202B"/>
      <w:sz w:val="21"/>
      <w:szCs w:val="21"/>
    </w:rPr>
  </w:style>
  <w:style w:customStyle="1" w:styleId="RecuadroParcial" w:type="paragraph">
    <w:name w:val="Recuadro Parcial"/>
    <w:basedOn w:val="BodyText"/>
    <w:uiPriority w:val="10"/>
    <w:qFormat/>
    <w:pPr>
      <w:pBdr>
        <w:top w:color="E8F5EC" w:space="4" w:sz="4" w:val="single"/>
        <w:left w:color="2E8B57" w:space="8" w:sz="24" w:val="single"/>
        <w:bottom w:color="E8F5EC" w:space="4" w:sz="4" w:val="single"/>
        <w:right w:color="E8F5EC" w:space="8" w:sz="4" w:val="single"/>
      </w:pBdr>
      <w:shd w:color="auto" w:fill="E8F5EC" w:val="clear"/>
      <w:spacing w:after="40" w:before="40" w:line="264" w:lineRule="auto"/>
      <w:ind w:left="227" w:right="227"/>
    </w:pPr>
    <w:rPr>
      <w:color w:val="14202B"/>
      <w:sz w:val="21"/>
      <w:szCs w:val="21"/>
    </w:rPr>
  </w:style>
  <w:style w:customStyle="1" w:styleId="RecuadroEsqueleto" w:type="paragraph">
    <w:name w:val="Recuadro Esqueleto"/>
    <w:basedOn w:val="BodyText"/>
    <w:uiPriority w:val="10"/>
    <w:qFormat/>
    <w:pPr>
      <w:pBdr>
        <w:top w:color="E3F2F1" w:space="4" w:sz="4" w:val="single"/>
        <w:left w:color="0F6B66" w:space="8" w:sz="24" w:val="single"/>
        <w:bottom w:color="E3F2F1" w:space="4" w:sz="4" w:val="single"/>
        <w:right w:color="E3F2F1" w:space="8" w:sz="4" w:val="single"/>
      </w:pBdr>
      <w:shd w:color="auto" w:fill="E3F2F1" w:val="clear"/>
      <w:spacing w:after="40" w:before="40" w:line="264" w:lineRule="auto"/>
      <w:ind w:left="227" w:right="227"/>
    </w:pPr>
    <w:rPr>
      <w:color w:val="14202B"/>
      <w:sz w:val="21"/>
      <w:szCs w:val="21"/>
    </w:rPr>
  </w:style>
  <w:style w:customStyle="1" w:styleId="RecuadroAtencion" w:type="paragraph">
    <w:name w:val="Recuadro Atencion"/>
    <w:basedOn w:val="BodyText"/>
    <w:uiPriority w:val="10"/>
    <w:qFormat/>
    <w:pPr>
      <w:pBdr>
        <w:top w:color="FDECEA" w:space="4" w:sz="4" w:val="single"/>
        <w:left w:color="C0392B" w:space="8" w:sz="24" w:val="single"/>
        <w:bottom w:color="FDECEA" w:space="4" w:sz="4" w:val="single"/>
        <w:right w:color="FDECEA" w:space="8" w:sz="4" w:val="single"/>
      </w:pBdr>
      <w:shd w:color="auto" w:fill="FDECEA" w:val="clear"/>
      <w:spacing w:after="40" w:before="40" w:line="264" w:lineRule="auto"/>
      <w:ind w:left="227" w:right="227"/>
    </w:pPr>
    <w:rPr>
      <w:color w:val="14202B"/>
      <w:sz w:val="21"/>
      <w:szCs w:val="21"/>
    </w:rPr>
  </w:style>
  <w:style w:customStyle="1" w:styleId="RecuadroComplemento" w:type="paragraph">
    <w:name w:val="Recuadro Complemento"/>
    <w:basedOn w:val="BodyText"/>
    <w:uiPriority w:val="10"/>
    <w:qFormat/>
    <w:pPr>
      <w:pBdr>
        <w:top w:color="F2F4F6" w:space="4" w:sz="4" w:val="single"/>
        <w:left w:color="8A96A3" w:space="8" w:sz="24" w:val="single"/>
        <w:bottom w:color="F2F4F6" w:space="4" w:sz="4" w:val="single"/>
        <w:right w:color="F2F4F6" w:space="8" w:sz="4" w:val="single"/>
      </w:pBdr>
      <w:shd w:color="auto" w:fill="F2F4F6" w:val="clear"/>
      <w:spacing w:after="40" w:before="40" w:line="264" w:lineRule="auto"/>
      <w:ind w:left="227" w:right="227"/>
    </w:pPr>
    <w:rPr>
      <w:color w:val="3D4A57"/>
      <w:sz w:val="21"/>
      <w:szCs w:val="21"/>
    </w:rPr>
  </w:style>
  <w:style w:customStyle="1" w:styleId="RecuadroFuente" w:type="paragraph">
    <w:name w:val="Recuadro Fuente"/>
    <w:basedOn w:val="BodyText"/>
    <w:uiPriority w:val="10"/>
    <w:qFormat/>
    <w:pPr>
      <w:pBdr>
        <w:top w:color="F7F8FA" w:space="4" w:sz="4" w:val="single"/>
        <w:left w:color="C9D1D9" w:space="8" w:sz="24" w:val="single"/>
        <w:bottom w:color="F7F8FA" w:space="4" w:sz="4" w:val="single"/>
        <w:right w:color="F7F8FA" w:space="8" w:sz="4" w:val="single"/>
      </w:pBdr>
      <w:shd w:color="auto" w:fill="F7F8FA" w:val="clear"/>
      <w:spacing w:after="40" w:before="40" w:line="264" w:lineRule="auto"/>
      <w:ind w:left="227" w:right="227"/>
    </w:pPr>
    <w:rPr>
      <w:color w:val="3D4A57"/>
      <w:sz w:val="19"/>
      <w:szCs w:val="19"/>
    </w:rPr>
  </w:style>
  <w:style w:customStyle="1" w:styleId="EncabezadoGuia" w:type="paragraph">
    <w:name w:val="Encabezado guia"/>
    <w:basedOn w:val="Normal"/>
    <w:pPr>
      <w:pBdr>
        <w:bottom w:color="C9D1D9" w:space="2" w:sz="4" w:val="single"/>
      </w:pBdr>
      <w:jc w:val="right"/>
      <w:spacing w:after="0"/>
    </w:pPr>
    <w:rPr>
      <w:color w:val="5D6B78"/>
      <w:sz w:val="17"/>
    </w:rPr>
  </w:style>
  <w:style w:customStyle="1" w:styleId="PieGuia" w:type="paragraph">
    <w:name w:val="Pie guia"/>
    <w:basedOn w:val="Normal"/>
    <w:pPr>
      <w:jc w:val="center"/>
      <w:spacing w:after="0"/>
    </w:pPr>
    <w:rPr>
      <w:color w:val="5D6B78"/>
      <w:sz w:val="17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Hdr1" Target="header1.xml" Type="http://schemas.openxmlformats.org/officeDocument/2006/relationships/header" /><Relationship Id="rIdFtr1" Target="footer1.xml" Type="http://schemas.openxmlformats.org/officeDocument/2006/relationships/footer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2026-10-09T15:13:56Z</dcterms:created>
  <dcterms:modified xsi:type="dcterms:W3CDTF">2026-10-09T15:13:56Z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in_saltos">
    <vt:lpwstr>True</vt:lpwstr>
  </property>
</Properties>
</file>