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62716" w14:textId="77777777" w:rsidR="00606D6F" w:rsidRDefault="006305F3" w:rsidP="006305F3">
      <w:pPr>
        <w:pStyle w:val="Ttulo1"/>
        <w:jc w:val="both"/>
      </w:pPr>
      <w:bookmarkStart w:id="0" w:name="trabajo-práctico-2-creencias-y-actitudes"/>
      <w:r>
        <w:t>Trabajo Práctico 2: Creencias y Actitudes</w:t>
      </w:r>
    </w:p>
    <w:p w14:paraId="2A962717" w14:textId="77777777" w:rsidR="00606D6F" w:rsidRDefault="006305F3" w:rsidP="006305F3">
      <w:pPr>
        <w:pStyle w:val="FirstParagraph"/>
        <w:jc w:val="both"/>
      </w:pPr>
      <w:r>
        <w:rPr>
          <w:b/>
          <w:bCs/>
        </w:rPr>
        <w:t>Materia:</w:t>
      </w:r>
      <w:r>
        <w:t xml:space="preserve"> Psicología Social </w:t>
      </w:r>
      <w:r>
        <w:rPr>
          <w:b/>
          <w:bCs/>
        </w:rPr>
        <w:t>Comisión:</w:t>
      </w:r>
      <w:r>
        <w:t xml:space="preserve"> [Comisión] </w:t>
      </w:r>
      <w:r>
        <w:rPr>
          <w:b/>
          <w:bCs/>
        </w:rPr>
        <w:t>Estudiantes:</w:t>
      </w:r>
      <w:r>
        <w:t xml:space="preserve"> [Nombres y Apellidos de los Integrantes] </w:t>
      </w:r>
      <w:r>
        <w:rPr>
          <w:b/>
          <w:bCs/>
        </w:rPr>
        <w:t>Fecha de entrega:</w:t>
      </w:r>
      <w:r>
        <w:t xml:space="preserve"> [Fecha] </w:t>
      </w:r>
      <w:r>
        <w:rPr>
          <w:b/>
          <w:bCs/>
        </w:rPr>
        <w:t>Enlace al video:</w:t>
      </w:r>
      <w:r>
        <w:t xml:space="preserve"> [Insertar link del video aquí]</w:t>
      </w:r>
    </w:p>
    <w:p w14:paraId="2A962718" w14:textId="77777777" w:rsidR="00606D6F" w:rsidRDefault="006305F3" w:rsidP="006305F3">
      <w:pPr>
        <w:jc w:val="both"/>
      </w:pPr>
      <w:r>
        <w:pict w14:anchorId="2A96272A">
          <v:rect id="_x0000_i1025" style="width:0;height:1.5pt" o:hralign="center" o:hrstd="t" o:hr="t"/>
        </w:pict>
      </w:r>
    </w:p>
    <w:p w14:paraId="2A962719" w14:textId="77777777" w:rsidR="00606D6F" w:rsidRDefault="006305F3" w:rsidP="006305F3">
      <w:pPr>
        <w:pStyle w:val="Ttulo2"/>
        <w:jc w:val="both"/>
      </w:pPr>
      <w:bookmarkStart w:id="1" w:name="introducción"/>
      <w:r>
        <w:t>Introducción</w:t>
      </w:r>
    </w:p>
    <w:p w14:paraId="2A96271A" w14:textId="77777777" w:rsidR="00606D6F" w:rsidRDefault="006305F3" w:rsidP="006305F3">
      <w:pPr>
        <w:pStyle w:val="FirstParagraph"/>
        <w:jc w:val="both"/>
      </w:pPr>
      <w:r>
        <w:t>El presente trabajo práctico tiene como objetivo principal explorar y analizar las creencias, actitudes y disposiciones conductuales que las personas poseen en relación con quienes toman medicación psiquiátrica. Este objeto de actitud resulta de gran relev</w:t>
      </w:r>
      <w:r>
        <w:t>ancia en el contexto de la salud mental comunitaria, dado que los estigmas asociados al consumo de psicofármacos pueden impactar directamente en la calidad de vida y en la integración social de las personas.</w:t>
      </w:r>
    </w:p>
    <w:p w14:paraId="2A96271B" w14:textId="77777777" w:rsidR="00606D6F" w:rsidRDefault="006305F3" w:rsidP="006305F3">
      <w:pPr>
        <w:pStyle w:val="Textoindependiente"/>
        <w:jc w:val="both"/>
      </w:pPr>
      <w:r>
        <w:t>Para llevar a cabo este análisis, nos apoyaremos</w:t>
      </w:r>
      <w:r>
        <w:t xml:space="preserve"> en los marcos teóricos abordados en la bibliografía de la unidad, en particular los conceptos desarrollados por Morales et al. (2007). Comprendemos a las </w:t>
      </w:r>
      <w:r>
        <w:rPr>
          <w:b/>
          <w:bCs/>
        </w:rPr>
        <w:t>actitudes</w:t>
      </w:r>
      <w:r>
        <w:t xml:space="preserve"> como evaluaciones globales y relativamente estables hacia un objeto (en este caso, personas</w:t>
      </w:r>
      <w:r>
        <w:t xml:space="preserve"> medicadas), que influyen en el procesamiento de la información y en la conducta. Asimismo, abordaremos las </w:t>
      </w:r>
      <w:r>
        <w:rPr>
          <w:b/>
          <w:bCs/>
        </w:rPr>
        <w:t>creencias</w:t>
      </w:r>
      <w:r>
        <w:t>, entendidas como la información, conocimiento y opiniones empíricas que las personas forjan, y que pueden responder a distintos sistemas d</w:t>
      </w:r>
      <w:r>
        <w:t>e procesamiento (racional o experiencial/heurístico). Buscaremos interpretar cómo estas variables interactúan e influyen en la disposición de los encuestados a vincularse en ámbitos laborales y personales con usuarios de medicación psiquiátrica.</w:t>
      </w:r>
    </w:p>
    <w:p w14:paraId="2A96271C" w14:textId="77777777" w:rsidR="00606D6F" w:rsidRDefault="006305F3" w:rsidP="006305F3">
      <w:pPr>
        <w:pStyle w:val="Ttulo2"/>
        <w:jc w:val="both"/>
      </w:pPr>
      <w:bookmarkStart w:id="2" w:name="desarrollo"/>
      <w:bookmarkEnd w:id="1"/>
      <w:r>
        <w:t>Desarrollo</w:t>
      </w:r>
    </w:p>
    <w:p w14:paraId="2A96271D" w14:textId="77777777" w:rsidR="00606D6F" w:rsidRDefault="006305F3" w:rsidP="006305F3">
      <w:pPr>
        <w:pStyle w:val="Ttulo3"/>
        <w:jc w:val="both"/>
      </w:pPr>
      <w:bookmarkStart w:id="3" w:name="Xf5430eb0372084dee8b05cdcef42fbf1b1369b0"/>
      <w:r>
        <w:t>Referencia al instrumento y características de la muestra</w:t>
      </w:r>
    </w:p>
    <w:p w14:paraId="2A96271E" w14:textId="77777777" w:rsidR="00606D6F" w:rsidRDefault="006305F3" w:rsidP="006305F3">
      <w:pPr>
        <w:pStyle w:val="FirstParagraph"/>
        <w:jc w:val="both"/>
      </w:pPr>
      <w:r>
        <w:t>Para recabar la información, el grupo diseñó y administró un cuestionario autoadministrado de forma asincrónica, contando con un total de 104 respuestas válidas, superando ampliamente el mínimo req</w:t>
      </w:r>
      <w:r>
        <w:t>uerido. La muestra quedó conformada por personas entre 18 y 50 años de edad, abarcando diversos niveles educativos y géneros.</w:t>
      </w:r>
    </w:p>
    <w:p w14:paraId="2A96271F" w14:textId="77777777" w:rsidR="00606D6F" w:rsidRDefault="006305F3" w:rsidP="006305F3">
      <w:pPr>
        <w:pStyle w:val="Textoindependiente"/>
        <w:jc w:val="both"/>
      </w:pPr>
      <w:r>
        <w:t xml:space="preserve">Se introdujo además una segmentación analítica clave: la división entre individuos </w:t>
      </w:r>
      <w:r>
        <w:rPr>
          <w:b/>
          <w:bCs/>
        </w:rPr>
        <w:t>"Internos al tema"</w:t>
      </w:r>
      <w:r>
        <w:t xml:space="preserve"> (aquellos que han consumido </w:t>
      </w:r>
      <w:r>
        <w:t xml:space="preserve">psicofármacos o tienen conocimientos vinculados a la salud por profesión) e individuos </w:t>
      </w:r>
      <w:r>
        <w:rPr>
          <w:b/>
          <w:bCs/>
        </w:rPr>
        <w:t>"Externos al tema"</w:t>
      </w:r>
      <w:r>
        <w:t>. El instrumento incluyó preguntas abiertas iniciales sobre las asociaciones espontáneas al escuchar sobre la temática, seguidas de una serie de afirma</w:t>
      </w:r>
      <w:r>
        <w:t>ciones evaluadas mediante escalas tipo Likert para medir creencias (ej. "Una persona que toma medicación psiquiátrica puede desempeñarse en actividades laborales"), actitudes afectivas (ej. comodidad frente a la persona) y disposiciones conductuales (ej. d</w:t>
      </w:r>
      <w:r>
        <w:t>isposición a trabajar conjuntamente).</w:t>
      </w:r>
    </w:p>
    <w:p w14:paraId="2A962720" w14:textId="77777777" w:rsidR="00606D6F" w:rsidRDefault="006305F3" w:rsidP="006305F3">
      <w:pPr>
        <w:pStyle w:val="Ttulo3"/>
        <w:jc w:val="both"/>
      </w:pPr>
      <w:bookmarkStart w:id="4" w:name="X403ee27618b3a02f222caf458214d0e746030a8"/>
      <w:bookmarkEnd w:id="3"/>
      <w:r>
        <w:t>Análisis e interpretación de los resultados</w:t>
      </w:r>
    </w:p>
    <w:p w14:paraId="2A962721" w14:textId="77777777" w:rsidR="00606D6F" w:rsidRDefault="006305F3" w:rsidP="006305F3">
      <w:pPr>
        <w:pStyle w:val="FirstParagraph"/>
        <w:jc w:val="both"/>
      </w:pPr>
      <w:r>
        <w:t>A partir de la limpieza y transformación de los datos recabados en la encuesta, emergieron patrones de respuesta que pueden ser analizados a la luz de la bibliografía de la u</w:t>
      </w:r>
      <w:r>
        <w:t>nidad.</w:t>
      </w:r>
    </w:p>
    <w:p w14:paraId="2A962722" w14:textId="77777777" w:rsidR="00606D6F" w:rsidRDefault="006305F3" w:rsidP="006305F3">
      <w:pPr>
        <w:pStyle w:val="Textoindependiente"/>
        <w:jc w:val="both"/>
      </w:pPr>
      <w:r>
        <w:t>En primer lugar, se observa en las respuestas a la pregunta abierta inicial (</w:t>
      </w:r>
      <w:r>
        <w:rPr>
          <w:i/>
          <w:iCs/>
        </w:rPr>
        <w:t>¿Qué es lo primero que pensás cuando escuchas que alguien toma medicación psiquiátrica?</w:t>
      </w:r>
      <w:r>
        <w:t>) la presencia de esquemas y heurísticos cognitivos muy marcados. Morales et al. (200</w:t>
      </w:r>
      <w:r>
        <w:t xml:space="preserve">7) señala (citando a Epstein y su Modelo CEST) </w:t>
      </w:r>
      <w:r>
        <w:lastRenderedPageBreak/>
        <w:t xml:space="preserve">que las personas operan frecuentemente bajo un sistema experiencial preconsciente, basado en estereotipos y afectos inmediatos. Esto se ve reflejado en las respuestas espontáneas que asocian automáticamente a </w:t>
      </w:r>
      <w:r>
        <w:t xml:space="preserve">la persona medicada con conceptos como "locura", "desorden mental" o "daño". Sin embargo, un gran sector de la muestra (mayoritariamente el grupo "Interno al tema") emite respuestas orientadas a la empatía y al tratamiento ("Que está tratando de recuperar </w:t>
      </w:r>
      <w:r>
        <w:t>su vida sana"), lo que evidencia un procesamiento más racional y elaborado de la información, matizado por el contacto previo.</w:t>
      </w:r>
    </w:p>
    <w:p w14:paraId="2A962723" w14:textId="77777777" w:rsidR="00606D6F" w:rsidRDefault="006305F3" w:rsidP="006305F3">
      <w:pPr>
        <w:pStyle w:val="Textoindependiente"/>
        <w:jc w:val="both"/>
      </w:pPr>
      <w:r>
        <w:t xml:space="preserve">En cuanto a la dimensión de las </w:t>
      </w:r>
      <w:r>
        <w:rPr>
          <w:b/>
          <w:bCs/>
        </w:rPr>
        <w:t>creencias</w:t>
      </w:r>
      <w:r>
        <w:t xml:space="preserve"> referidas a las capacidades de las personas medicadas (desempeño laboral y posibilidad </w:t>
      </w:r>
      <w:r>
        <w:t>de concretar proyectos de vida), los resultados cuantitativos indican un alto grado de acuerdo general respecto a que la medicación no es un impedimento, sino una herramienta de bienestar. No obstante, al desglosar por grupos, los "Internos al tema" sostie</w:t>
      </w:r>
      <w:r>
        <w:t>nen creencias significativamente más positivas y afianzadas. Esto concuerda teóricamente con la consolidación de actitudes a través de la experiencia directa: quienes conocen el efecto real de la medicación (por consumo propio o de allegados) logran recons</w:t>
      </w:r>
      <w:r>
        <w:t>truir sus creencias sociales para adaptarlas a la realidad, reduciendo el sesgo (Morales et al., 2007).</w:t>
      </w:r>
    </w:p>
    <w:p w14:paraId="2A962724" w14:textId="77777777" w:rsidR="00606D6F" w:rsidRDefault="006305F3" w:rsidP="006305F3">
      <w:pPr>
        <w:pStyle w:val="Textoindependiente"/>
        <w:jc w:val="both"/>
      </w:pPr>
      <w:r>
        <w:t xml:space="preserve">En el componente de las </w:t>
      </w:r>
      <w:r>
        <w:rPr>
          <w:b/>
          <w:bCs/>
        </w:rPr>
        <w:t>actitudes (afectivo/evaluativo)</w:t>
      </w:r>
      <w:r>
        <w:t xml:space="preserve"> y de la </w:t>
      </w:r>
      <w:r>
        <w:rPr>
          <w:b/>
          <w:bCs/>
        </w:rPr>
        <w:t>conducta</w:t>
      </w:r>
      <w:r>
        <w:t>, se detecta que las puntuaciones medias de aceptación y comodidad son elevadas.</w:t>
      </w:r>
      <w:r>
        <w:t xml:space="preserve"> La correlación entre conocer a alguien medicado y tener una disposición conductual positiva y de compañerismo hacia un hipotético colega (en este caso el personaje planteado en la encuesta, "Juan") es clara. En la pregunta final abierta (que solicitaba ex</w:t>
      </w:r>
      <w:r>
        <w:t>periencias que hayan influido en su forma de pensar), los sujetos relatan que convivir con tratamientos psiquiátricos en su entorno cercano redujo drásticamente el estigma. La evidencia empírica directa logró que los sujetos desarmaran el "mundo de los sup</w:t>
      </w:r>
      <w:r>
        <w:t>uestos" previos y reconstruyeran una visión donde la medicación psiquiátrica es comprendida como algo natural y necesario para la salud mental.</w:t>
      </w:r>
    </w:p>
    <w:p w14:paraId="2A962725" w14:textId="77777777" w:rsidR="00606D6F" w:rsidRDefault="006305F3" w:rsidP="006305F3">
      <w:pPr>
        <w:pStyle w:val="Ttulo2"/>
        <w:jc w:val="both"/>
      </w:pPr>
      <w:bookmarkStart w:id="5" w:name="conclusión"/>
      <w:bookmarkEnd w:id="4"/>
      <w:bookmarkEnd w:id="2"/>
      <w:r>
        <w:t>Conclusión</w:t>
      </w:r>
    </w:p>
    <w:p w14:paraId="2A962726" w14:textId="77777777" w:rsidR="00606D6F" w:rsidRDefault="006305F3" w:rsidP="006305F3">
      <w:pPr>
        <w:pStyle w:val="FirstParagraph"/>
        <w:jc w:val="both"/>
      </w:pPr>
      <w:r>
        <w:t>El análisis de la encuesta evidencia que, si bien persisten en un nivel automático (y quizás más en s</w:t>
      </w:r>
      <w:r>
        <w:t>ectores alejados de la problemática) resabios de estereotipos asociados a la locura o a la debilidad frente a la medicación psiquiátrica, prevalece mayoritariamente una actitud explícita de tolerancia y aceptación.</w:t>
      </w:r>
    </w:p>
    <w:p w14:paraId="2A962727" w14:textId="77777777" w:rsidR="00606D6F" w:rsidRDefault="006305F3" w:rsidP="006305F3">
      <w:pPr>
        <w:pStyle w:val="Textoindependiente"/>
        <w:jc w:val="both"/>
      </w:pPr>
      <w:r>
        <w:t>La principal conclusión teórica que arroj</w:t>
      </w:r>
      <w:r>
        <w:t>an nuestros datos es la influencia determinante de la experiencia directa (sistema racional y vivencial) para el desmantelamiento de prejuicios. Aquellos individuos identificados como "Internos al tema" exhiben creencias mucho más sólidas respecto a las ca</w:t>
      </w:r>
      <w:r>
        <w:t>pacidades de las personas medicadas, traduciéndose en afectos y disposiciones conductuales libres de discriminación. En definitiva, las actitudes hacia el consumo de psicofármacos atraviesan un claro proceso de transición en la sociedad, donde la psicoeduc</w:t>
      </w:r>
      <w:r>
        <w:t>ación y el contacto cercano actúan como factores protectores y reconstructores frente a las creencias estigmatizantes tradicionales.</w:t>
      </w:r>
    </w:p>
    <w:p w14:paraId="2A962728" w14:textId="77777777" w:rsidR="00606D6F" w:rsidRDefault="006305F3" w:rsidP="006305F3">
      <w:pPr>
        <w:jc w:val="both"/>
      </w:pPr>
      <w:r>
        <w:pict w14:anchorId="2A96272B">
          <v:rect id="_x0000_i1026" style="width:0;height:1.5pt" o:hralign="center" o:hrstd="t" o:hr="t"/>
        </w:pict>
      </w:r>
    </w:p>
    <w:p w14:paraId="2A962729" w14:textId="77777777" w:rsidR="00606D6F" w:rsidRDefault="006305F3" w:rsidP="006305F3">
      <w:pPr>
        <w:pStyle w:val="FirstParagraph"/>
        <w:jc w:val="both"/>
      </w:pPr>
      <w:r>
        <w:rPr>
          <w:b/>
          <w:bCs/>
        </w:rPr>
        <w:t>Anexo</w:t>
      </w:r>
      <w:r>
        <w:t xml:space="preserve"> </w:t>
      </w:r>
      <w:r>
        <w:rPr>
          <w:i/>
          <w:iCs/>
        </w:rPr>
        <w:t>(Sugerencia: Reemplazar este texto con los gráficos comparativos de barras generados en el Notebook "analisis_psico</w:t>
      </w:r>
      <w:r>
        <w:rPr>
          <w:i/>
          <w:iCs/>
        </w:rPr>
        <w:t>logia_social.ipynb" y agregar el link a la encuesta y/o a la hoja de respuestas limpia).</w:t>
      </w:r>
    </w:p>
    <w:bookmarkEnd w:id="5"/>
    <w:bookmarkEnd w:id="0"/>
    <w:sectPr w:rsidR="00606D6F" w:rsidSect="006305F3">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ACA68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28203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06D6F"/>
    <w:rsid w:val="00606D6F"/>
    <w:rsid w:val="00630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A962716"/>
  <w15:docId w15:val="{6C08C274-C96C-46B8-96FB-BCBBF95AA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994</Words>
  <Characters>5472</Characters>
  <Application>Microsoft Office Word</Application>
  <DocSecurity>0</DocSecurity>
  <Lines>45</Lines>
  <Paragraphs>12</Paragraphs>
  <ScaleCrop>false</ScaleCrop>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2</cp:revision>
  <dcterms:created xsi:type="dcterms:W3CDTF">2026-09-17T22:03:00Z</dcterms:created>
  <dcterms:modified xsi:type="dcterms:W3CDTF">2026-09-17T22:03:00Z</dcterms:modified>
</cp:coreProperties>
</file>