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5746F" w14:textId="5B554C17" w:rsidR="00463E44" w:rsidRPr="00463E44" w:rsidRDefault="00463E44" w:rsidP="00BD5F30">
      <w:pPr>
        <w:spacing w:after="0" w:line="240" w:lineRule="auto"/>
        <w:ind w:left="-30"/>
        <w:rPr>
          <w:rFonts w:ascii="Aptos" w:hAnsi="Aptos" w:cs="source serif 4"/>
          <w:b/>
          <w:color w:val="000000"/>
          <w:sz w:val="20"/>
          <w:szCs w:val="20"/>
          <w:lang w:val="es-AR" w:eastAsia="ko-KR"/>
        </w:rPr>
      </w:pPr>
      <w:bookmarkStart w:id="0" w:name="introducción_la_ilusión_de_una_re_c319ea"/>
      <w:r>
        <w:rPr>
          <w:rFonts w:ascii="Aptos" w:hAnsi="Aptos" w:cs="source serif 4" w:hint="eastAsia"/>
          <w:b/>
          <w:color w:val="000000"/>
          <w:sz w:val="20"/>
          <w:szCs w:val="20"/>
          <w:lang w:eastAsia="ko-KR"/>
        </w:rPr>
        <w:t>C</w:t>
      </w:r>
      <w:r>
        <w:rPr>
          <w:rFonts w:ascii="Aptos" w:hAnsi="Aptos" w:cs="source serif 4"/>
          <w:b/>
          <w:color w:val="000000"/>
          <w:sz w:val="20"/>
          <w:szCs w:val="20"/>
          <w:lang w:val="es-AR" w:eastAsia="ko-KR"/>
        </w:rPr>
        <w:t>onstrucción social de la realidad</w:t>
      </w:r>
    </w:p>
    <w:p w14:paraId="41EF6AFB" w14:textId="77777777" w:rsidR="00463E44" w:rsidRDefault="00463E44" w:rsidP="00BD5F30">
      <w:pPr>
        <w:spacing w:after="0" w:line="240" w:lineRule="auto"/>
        <w:ind w:left="-30"/>
        <w:rPr>
          <w:rFonts w:ascii="Aptos" w:hAnsi="Aptos" w:cs="source serif 4"/>
          <w:b/>
          <w:color w:val="000000"/>
          <w:sz w:val="20"/>
          <w:szCs w:val="20"/>
          <w:lang w:eastAsia="ko-KR"/>
        </w:rPr>
      </w:pPr>
    </w:p>
    <w:p w14:paraId="28D11E78" w14:textId="308D908E" w:rsidR="00AD5F7F" w:rsidRPr="00BD5F30" w:rsidRDefault="00000000" w:rsidP="00BD5F30">
      <w:pPr>
        <w:spacing w:after="0" w:line="240" w:lineRule="auto"/>
        <w:ind w:left="-30"/>
        <w:rPr>
          <w:rFonts w:ascii="Aptos" w:hAnsi="Aptos"/>
          <w:sz w:val="20"/>
          <w:szCs w:val="20"/>
        </w:rPr>
      </w:pPr>
      <w:r w:rsidRPr="00BD5F30">
        <w:rPr>
          <w:rFonts w:ascii="Aptos" w:eastAsia="source serif 4" w:hAnsi="Aptos" w:cs="source serif 4"/>
          <w:b/>
          <w:color w:val="000000"/>
          <w:sz w:val="20"/>
          <w:szCs w:val="20"/>
        </w:rPr>
        <w:t>Introducción: la ilusión de una realidad objetiva única</w:t>
      </w:r>
      <w:bookmarkEnd w:id="0"/>
    </w:p>
    <w:p w14:paraId="798AAFBE"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La comunicación constructivista derriba la ilusión de que existe una única realidad objetiva: la realidad es, en gran medida, el resultado de la comunicación entre las personas. Watzlawick sostiene que la noción de que la realidad es un reflejo de verdades eternas es una ilusión sostenida por dos mecanismos: el </w:t>
      </w:r>
      <w:r w:rsidRPr="00BD5F30">
        <w:rPr>
          <w:rFonts w:ascii="Aptos" w:eastAsia="source serif 4" w:hAnsi="Aptos" w:cs="source serif 4"/>
          <w:b/>
          <w:color w:val="000000"/>
          <w:sz w:val="20"/>
          <w:szCs w:val="20"/>
        </w:rPr>
        <w:t>sesgo de autoconfirmación</w:t>
      </w:r>
      <w:r w:rsidRPr="00BD5F30">
        <w:rPr>
          <w:rFonts w:ascii="Aptos" w:eastAsia="source serif 4" w:hAnsi="Aptos" w:cs="source serif 4"/>
          <w:color w:val="000000"/>
          <w:sz w:val="20"/>
          <w:szCs w:val="20"/>
        </w:rPr>
        <w:t xml:space="preserve">, un impulso innato a buscar orden en el caos que nos lleva a distorsionar hechos para apuntalar teorías preexistentes en lugar de adaptar las teorías a los hechos, y la </w:t>
      </w:r>
      <w:r w:rsidRPr="00BD5F30">
        <w:rPr>
          <w:rFonts w:ascii="Aptos" w:eastAsia="source serif 4" w:hAnsi="Aptos" w:cs="source serif 4"/>
          <w:b/>
          <w:color w:val="000000"/>
          <w:sz w:val="20"/>
          <w:szCs w:val="20"/>
        </w:rPr>
        <w:t>pragmática de la comunicación</w:t>
      </w:r>
      <w:r w:rsidRPr="00BD5F30">
        <w:rPr>
          <w:rFonts w:ascii="Aptos" w:eastAsia="source serif 4" w:hAnsi="Aptos" w:cs="source serif 4"/>
          <w:color w:val="000000"/>
          <w:sz w:val="20"/>
          <w:szCs w:val="20"/>
        </w:rPr>
        <w:t xml:space="preserve">, entendida no como transmisión de datos abstractos sino como el mecanismo fundamental por el cual los seres humanos influyen mutuamente sobre conductas, estados anímicos y mundos subjetivos. Laso Ortiz retoma exactamente esta base para sostener que el trabajo sistémico clásico, centrado en la "ecología de las ideas" (cómo cada participante interpreta cognitivamente la interacción), resulta insuficiente porque ignora que la emoción antecede y determina esas interpretaciones; su propuesta explícita es trascender la ecología de las ideas para abrazar, finalmente, una </w:t>
      </w:r>
      <w:r w:rsidRPr="00BD5F30">
        <w:rPr>
          <w:rFonts w:ascii="Aptos" w:eastAsia="source serif 4" w:hAnsi="Aptos" w:cs="source serif 4"/>
          <w:b/>
          <w:color w:val="000000"/>
          <w:sz w:val="20"/>
          <w:szCs w:val="20"/>
        </w:rPr>
        <w:t>ecología de las emociones</w:t>
      </w:r>
      <w:r w:rsidRPr="00BD5F30">
        <w:rPr>
          <w:rFonts w:ascii="Aptos" w:eastAsia="source serif 4" w:hAnsi="Aptos" w:cs="source serif 4"/>
          <w:color w:val="000000"/>
          <w:sz w:val="20"/>
          <w:szCs w:val="20"/>
        </w:rPr>
        <w:t>.[</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5884F72B" w14:textId="77777777" w:rsidR="00AD5F7F" w:rsidRPr="00BD5F30" w:rsidRDefault="00000000" w:rsidP="00BD5F30">
      <w:pPr>
        <w:spacing w:after="0" w:line="240" w:lineRule="auto"/>
        <w:ind w:left="-30"/>
        <w:rPr>
          <w:rFonts w:ascii="Aptos" w:hAnsi="Aptos"/>
          <w:sz w:val="20"/>
          <w:szCs w:val="20"/>
        </w:rPr>
      </w:pPr>
      <w:bookmarkStart w:id="1" w:name="las_dos_realidades_primer_y_segun_9b0f68"/>
      <w:r w:rsidRPr="00BD5F30">
        <w:rPr>
          <w:rFonts w:ascii="Aptos" w:eastAsia="source serif 4" w:hAnsi="Aptos" w:cs="source serif 4"/>
          <w:b/>
          <w:color w:val="000000"/>
          <w:sz w:val="20"/>
          <w:szCs w:val="20"/>
        </w:rPr>
        <w:t>Las dos realidades: primer y segundo orden</w:t>
      </w:r>
      <w:bookmarkEnd w:id="1"/>
    </w:p>
    <w:p w14:paraId="000B233D"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Watzlawick distingue de forma tajante dos niveles de realidad, base de todo el edificio teórico posterior:</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77"/>
        <w:gridCol w:w="3787"/>
        <w:gridCol w:w="4140"/>
      </w:tblGrid>
      <w:tr w:rsidR="00AD5F7F" w:rsidRPr="00BD5F30" w14:paraId="25FC45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537CE1"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Dimensión</w:t>
            </w:r>
          </w:p>
        </w:tc>
        <w:tc>
          <w:tcPr>
            <w:tcW w:w="0" w:type="auto"/>
            <w:tcBorders>
              <w:top w:val="single" w:sz="1" w:space="0" w:color="000000"/>
              <w:bottom w:val="single" w:sz="1" w:space="0" w:color="000000"/>
              <w:right w:val="single" w:sz="1" w:space="0" w:color="000000"/>
            </w:tcBorders>
          </w:tcPr>
          <w:p w14:paraId="0BEA938B"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Realidad de primer orden</w:t>
            </w:r>
          </w:p>
        </w:tc>
        <w:tc>
          <w:tcPr>
            <w:tcW w:w="0" w:type="auto"/>
            <w:tcBorders>
              <w:top w:val="single" w:sz="1" w:space="0" w:color="000000"/>
              <w:bottom w:val="single" w:sz="1" w:space="0" w:color="000000"/>
            </w:tcBorders>
          </w:tcPr>
          <w:p w14:paraId="412AE768"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Realidad de segundo orden</w:t>
            </w:r>
          </w:p>
        </w:tc>
      </w:tr>
      <w:tr w:rsidR="00AD5F7F" w:rsidRPr="00BD5F30" w14:paraId="4F7FA8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F73C6B"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Definición</w:t>
            </w:r>
          </w:p>
        </w:tc>
        <w:tc>
          <w:tcPr>
            <w:tcW w:w="0" w:type="auto"/>
            <w:tcBorders>
              <w:top w:val="single" w:sz="1" w:space="0" w:color="000000"/>
              <w:bottom w:val="single" w:sz="1" w:space="0" w:color="000000"/>
              <w:right w:val="single" w:sz="1" w:space="0" w:color="000000"/>
            </w:tcBorders>
          </w:tcPr>
          <w:p w14:paraId="7CD5C9FB"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Propiedades puramente físicas, descriptivas y objetivamente constatables de las cosas [^1]</w:t>
            </w:r>
          </w:p>
        </w:tc>
        <w:tc>
          <w:tcPr>
            <w:tcW w:w="0" w:type="auto"/>
            <w:tcBorders>
              <w:top w:val="single" w:sz="1" w:space="0" w:color="000000"/>
              <w:bottom w:val="single" w:sz="1" w:space="0" w:color="000000"/>
            </w:tcBorders>
          </w:tcPr>
          <w:p w14:paraId="30B29EB7"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Adscripción de un sentido, valor, significado y motivo a las cosas y conductas a través del proceso relacional [^1]</w:t>
            </w:r>
          </w:p>
        </w:tc>
      </w:tr>
      <w:tr w:rsidR="00AD5F7F" w:rsidRPr="00BD5F30" w14:paraId="55F8BED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619EB3"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Fundamento</w:t>
            </w:r>
          </w:p>
        </w:tc>
        <w:tc>
          <w:tcPr>
            <w:tcW w:w="0" w:type="auto"/>
            <w:tcBorders>
              <w:top w:val="single" w:sz="1" w:space="0" w:color="000000"/>
              <w:bottom w:val="single" w:sz="1" w:space="0" w:color="000000"/>
              <w:right w:val="single" w:sz="1" w:space="0" w:color="000000"/>
            </w:tcBorders>
          </w:tcPr>
          <w:p w14:paraId="0F123962"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Consenso perceptivo apoyado en pruebas experimentales, repetibles y verificables bajo la metodología científica [^1]</w:t>
            </w:r>
          </w:p>
        </w:tc>
        <w:tc>
          <w:tcPr>
            <w:tcW w:w="0" w:type="auto"/>
            <w:tcBorders>
              <w:top w:val="single" w:sz="1" w:space="0" w:color="000000"/>
              <w:bottom w:val="single" w:sz="1" w:space="0" w:color="000000"/>
            </w:tcBorders>
          </w:tcPr>
          <w:p w14:paraId="49301DEC"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Construcción intersubjetiva: no hay criterios objetivos; es subjetiva, arbitraria y depende enteramente del marco cultural y comunicativo [^1]</w:t>
            </w:r>
          </w:p>
        </w:tc>
      </w:tr>
      <w:tr w:rsidR="00AD5F7F" w:rsidRPr="00BD5F30" w14:paraId="715152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BE7C0D"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Ejemplo del oro</w:t>
            </w:r>
          </w:p>
        </w:tc>
        <w:tc>
          <w:tcPr>
            <w:tcW w:w="0" w:type="auto"/>
            <w:tcBorders>
              <w:top w:val="single" w:sz="1" w:space="0" w:color="000000"/>
              <w:bottom w:val="single" w:sz="1" w:space="0" w:color="000000"/>
              <w:right w:val="single" w:sz="1" w:space="0" w:color="000000"/>
            </w:tcBorders>
          </w:tcPr>
          <w:p w14:paraId="20A9C3CF"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Propiedades químicas de densidad, maleabilidad, ductilidad y punto de fusión, universales y exactas [^1]</w:t>
            </w:r>
          </w:p>
        </w:tc>
        <w:tc>
          <w:tcPr>
            <w:tcW w:w="0" w:type="auto"/>
            <w:tcBorders>
              <w:top w:val="single" w:sz="1" w:space="0" w:color="000000"/>
              <w:bottom w:val="single" w:sz="1" w:space="0" w:color="000000"/>
            </w:tcBorders>
          </w:tcPr>
          <w:p w14:paraId="2BC9A1CF"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Valor económico fijado dos veces al día en la City de Londres; símbolo de estatus o poder [^1]</w:t>
            </w:r>
          </w:p>
        </w:tc>
      </w:tr>
      <w:tr w:rsidR="00AD5F7F" w:rsidRPr="00BD5F30" w14:paraId="6000AD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CC2E3F"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Ejemplo del rescate</w:t>
            </w:r>
          </w:p>
        </w:tc>
        <w:tc>
          <w:tcPr>
            <w:tcW w:w="0" w:type="auto"/>
            <w:tcBorders>
              <w:top w:val="single" w:sz="1" w:space="0" w:color="000000"/>
              <w:bottom w:val="single" w:sz="1" w:space="0" w:color="000000"/>
              <w:right w:val="single" w:sz="1" w:space="0" w:color="000000"/>
            </w:tcBorders>
          </w:tcPr>
          <w:p w14:paraId="4F17031F"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Un hombre se tira al agua a rescatar a una persona que se está ahogando (conducta objetiva) [^1]</w:t>
            </w:r>
          </w:p>
        </w:tc>
        <w:tc>
          <w:tcPr>
            <w:tcW w:w="0" w:type="auto"/>
            <w:tcBorders>
              <w:top w:val="single" w:sz="1" w:space="0" w:color="000000"/>
              <w:bottom w:val="single" w:sz="1" w:space="0" w:color="000000"/>
            </w:tcBorders>
          </w:tcPr>
          <w:p w14:paraId="40DFAD1B"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Atribuir el rescate a "amor al prójimo", "búsqueda de fama" o al hecho de saber que el rescatado es millonario [^1]</w:t>
            </w:r>
          </w:p>
        </w:tc>
      </w:tr>
    </w:tbl>
    <w:p w14:paraId="150995B9" w14:textId="77777777" w:rsidR="00AD5F7F" w:rsidRPr="00BD5F30" w:rsidRDefault="00AD5F7F" w:rsidP="00BD5F30">
      <w:pPr>
        <w:spacing w:after="0" w:line="240" w:lineRule="auto"/>
        <w:rPr>
          <w:rFonts w:ascii="Aptos" w:hAnsi="Aptos"/>
          <w:sz w:val="20"/>
          <w:szCs w:val="20"/>
        </w:rPr>
      </w:pPr>
    </w:p>
    <w:p w14:paraId="2BC1A85C"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Watzlawick refuerza esta distinción señalando que preguntarse "qué es lo realmente real" carece de sentido en el plano del segundo orden: no existe una norma objetiva sobre, por ejemplo, la distancia física adecuada entre dos personas o el momento correcto para besarse en una relación de pareja; estas reglas son arbitrarias y dependen por completo del marco cultural. El error habitual —tanto en la vida cotidiana como en diagnósticos psiquiátricos— es asumir ingenuamente que la propia percepción de segundo orden es "la realidad", y que quien percibe distinto está siendo malicioso o está enfermo </w:t>
      </w:r>
      <w:proofErr w:type="gramStart"/>
      <w:r w:rsidRPr="00BD5F30">
        <w:rPr>
          <w:rFonts w:ascii="Aptos" w:eastAsia="source serif 4" w:hAnsi="Aptos" w:cs="source serif 4"/>
          <w:color w:val="000000"/>
          <w:sz w:val="20"/>
          <w:szCs w:val="20"/>
        </w:rPr>
        <w:t>mental.[</w:t>
      </w:r>
      <w:proofErr w:type="gramEnd"/>
      <w:r w:rsidRPr="00BD5F30">
        <w:rPr>
          <w:rFonts w:ascii="Aptos" w:eastAsia="source serif 4" w:hAnsi="Aptos" w:cs="source serif 4"/>
          <w:color w:val="000000"/>
          <w:sz w:val="20"/>
          <w:szCs w:val="20"/>
        </w:rPr>
        <w:t>^3]</w:t>
      </w:r>
    </w:p>
    <w:p w14:paraId="3F649635" w14:textId="77777777" w:rsidR="00AD5F7F" w:rsidRPr="00BD5F30" w:rsidRDefault="00000000" w:rsidP="00BD5F30">
      <w:pPr>
        <w:spacing w:after="0" w:line="240" w:lineRule="auto"/>
        <w:ind w:left="-30"/>
        <w:rPr>
          <w:rFonts w:ascii="Aptos" w:hAnsi="Aptos"/>
          <w:sz w:val="20"/>
          <w:szCs w:val="20"/>
        </w:rPr>
      </w:pPr>
      <w:bookmarkStart w:id="2" w:name="el_problema_de_la_no_contingencia_4933a9"/>
      <w:r w:rsidRPr="00BD5F30">
        <w:rPr>
          <w:rFonts w:ascii="Aptos" w:eastAsia="source serif 4" w:hAnsi="Aptos" w:cs="source serif 4"/>
          <w:b/>
          <w:color w:val="000000"/>
          <w:sz w:val="20"/>
          <w:szCs w:val="20"/>
        </w:rPr>
        <w:t>El problema de la no contingencia: cómo se fabrican realidades falsas</w:t>
      </w:r>
      <w:bookmarkEnd w:id="2"/>
    </w:p>
    <w:p w14:paraId="10E33F5B"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Watzlawick dedica una sección extensa a demostrar, mediante experimentos, que cuando una situación carece de todo orden interno pero el sujeto ignora esa circunstancia, la búsqueda de sentido genera concepciones distorsionadas de la realidad que se sostienen con enorme tenacidad. Estos hallazgos son clave para entender el sustrato experimental de la "realidad construida":</w:t>
      </w:r>
    </w:p>
    <w:p w14:paraId="79024033" w14:textId="77777777" w:rsidR="00AD5F7F" w:rsidRPr="00BD5F30" w:rsidRDefault="00000000" w:rsidP="00BD5F30">
      <w:pPr>
        <w:numPr>
          <w:ilvl w:val="0"/>
          <w:numId w:val="1"/>
        </w:numPr>
        <w:spacing w:after="0" w:line="240" w:lineRule="auto"/>
        <w:rPr>
          <w:rFonts w:ascii="Aptos" w:hAnsi="Aptos"/>
          <w:sz w:val="20"/>
          <w:szCs w:val="20"/>
        </w:rPr>
      </w:pPr>
      <w:r w:rsidRPr="00BD5F30">
        <w:rPr>
          <w:rFonts w:ascii="Aptos" w:eastAsia="source serif 4" w:hAnsi="Aptos" w:cs="source serif 4"/>
          <w:b/>
          <w:color w:val="000000"/>
          <w:sz w:val="20"/>
          <w:szCs w:val="20"/>
        </w:rPr>
        <w:t>El caballo neurótico</w:t>
      </w:r>
      <w:r w:rsidRPr="00BD5F30">
        <w:rPr>
          <w:rFonts w:ascii="Aptos" w:eastAsia="source serif 4" w:hAnsi="Aptos" w:cs="source serif 4"/>
          <w:color w:val="000000"/>
          <w:sz w:val="20"/>
          <w:szCs w:val="20"/>
        </w:rPr>
        <w:t xml:space="preserve">: si se hace sonar una campana segundos antes de una descarga eléctrica en la pata de un caballo, éste asocia el sonido con el dolor y levanta la pata preventivamente. Aun después de desconectar el dispositivo eléctrico, el animal sigue alzando la pata cada vez que suena la campana, porque cada vez que lo hace "confirma" que su conducta lo protege; la solución se ha convertido en el </w:t>
      </w:r>
      <w:proofErr w:type="gramStart"/>
      <w:r w:rsidRPr="00BD5F30">
        <w:rPr>
          <w:rFonts w:ascii="Aptos" w:eastAsia="source serif 4" w:hAnsi="Aptos" w:cs="source serif 4"/>
          <w:color w:val="000000"/>
          <w:sz w:val="20"/>
          <w:szCs w:val="20"/>
        </w:rPr>
        <w:t>problema.[</w:t>
      </w:r>
      <w:proofErr w:type="gramEnd"/>
      <w:r w:rsidRPr="00BD5F30">
        <w:rPr>
          <w:rFonts w:ascii="Aptos" w:eastAsia="source serif 4" w:hAnsi="Aptos" w:cs="source serif 4"/>
          <w:color w:val="000000"/>
          <w:sz w:val="20"/>
          <w:szCs w:val="20"/>
        </w:rPr>
        <w:t>^3]</w:t>
      </w:r>
    </w:p>
    <w:p w14:paraId="6665E2EE" w14:textId="77777777" w:rsidR="00AD5F7F" w:rsidRPr="00BD5F30" w:rsidRDefault="00000000" w:rsidP="00BD5F30">
      <w:pPr>
        <w:numPr>
          <w:ilvl w:val="0"/>
          <w:numId w:val="1"/>
        </w:numPr>
        <w:spacing w:after="0" w:line="240" w:lineRule="auto"/>
        <w:rPr>
          <w:rFonts w:ascii="Aptos" w:hAnsi="Aptos"/>
          <w:sz w:val="20"/>
          <w:szCs w:val="20"/>
        </w:rPr>
      </w:pPr>
      <w:r w:rsidRPr="00BD5F30">
        <w:rPr>
          <w:rFonts w:ascii="Aptos" w:eastAsia="source serif 4" w:hAnsi="Aptos" w:cs="source serif 4"/>
          <w:b/>
          <w:color w:val="000000"/>
          <w:sz w:val="20"/>
          <w:szCs w:val="20"/>
        </w:rPr>
        <w:t>La rata supersticiosa</w:t>
      </w:r>
      <w:r w:rsidRPr="00BD5F30">
        <w:rPr>
          <w:rFonts w:ascii="Aptos" w:eastAsia="source serif 4" w:hAnsi="Aptos" w:cs="source serif 4"/>
          <w:color w:val="000000"/>
          <w:sz w:val="20"/>
          <w:szCs w:val="20"/>
        </w:rPr>
        <w:t xml:space="preserve">: en un experimento donde la comida cae en un comedero solo después de transcurrido cierto tiempo (independientemente de la conducta del animal), la rata desarrolla rituales conductuales caprichosos (saltos, piruetas) que repite fielmente, convencida de que esos movimientos </w:t>
      </w:r>
      <w:r w:rsidRPr="00BD5F30">
        <w:rPr>
          <w:rFonts w:ascii="Aptos" w:eastAsia="source serif 4" w:hAnsi="Aptos" w:cs="source serif 4"/>
          <w:color w:val="000000"/>
          <w:sz w:val="20"/>
          <w:szCs w:val="20"/>
        </w:rPr>
        <w:lastRenderedPageBreak/>
        <w:t xml:space="preserve">"causan" la recompensa. Este es, según Watzlawick, el núcleo esencial de lo que en el ámbito humano se llama </w:t>
      </w:r>
      <w:proofErr w:type="gramStart"/>
      <w:r w:rsidRPr="00BD5F30">
        <w:rPr>
          <w:rFonts w:ascii="Aptos" w:eastAsia="source serif 4" w:hAnsi="Aptos" w:cs="source serif 4"/>
          <w:color w:val="000000"/>
          <w:sz w:val="20"/>
          <w:szCs w:val="20"/>
        </w:rPr>
        <w:t>superstición.[</w:t>
      </w:r>
      <w:proofErr w:type="gramEnd"/>
      <w:r w:rsidRPr="00BD5F30">
        <w:rPr>
          <w:rFonts w:ascii="Aptos" w:eastAsia="source serif 4" w:hAnsi="Aptos" w:cs="source serif 4"/>
          <w:color w:val="000000"/>
          <w:sz w:val="20"/>
          <w:szCs w:val="20"/>
        </w:rPr>
        <w:t>^3]</w:t>
      </w:r>
    </w:p>
    <w:p w14:paraId="6DBFAEC8" w14:textId="77777777" w:rsidR="00AD5F7F" w:rsidRPr="00BD5F30" w:rsidRDefault="00000000" w:rsidP="00BD5F30">
      <w:pPr>
        <w:numPr>
          <w:ilvl w:val="0"/>
          <w:numId w:val="1"/>
        </w:numPr>
        <w:spacing w:after="0" w:line="240" w:lineRule="auto"/>
        <w:rPr>
          <w:rFonts w:ascii="Aptos" w:hAnsi="Aptos"/>
          <w:sz w:val="20"/>
          <w:szCs w:val="20"/>
        </w:rPr>
      </w:pPr>
      <w:r w:rsidRPr="00BD5F30">
        <w:rPr>
          <w:rFonts w:ascii="Aptos" w:eastAsia="source serif 4" w:hAnsi="Aptos" w:cs="source serif 4"/>
          <w:b/>
          <w:color w:val="000000"/>
          <w:sz w:val="20"/>
          <w:szCs w:val="20"/>
        </w:rPr>
        <w:t>El experimento de Bavelas (sujetos A y B)</w:t>
      </w:r>
      <w:r w:rsidRPr="00BD5F30">
        <w:rPr>
          <w:rFonts w:ascii="Aptos" w:eastAsia="source serif 4" w:hAnsi="Aptos" w:cs="source serif 4"/>
          <w:color w:val="000000"/>
          <w:sz w:val="20"/>
          <w:szCs w:val="20"/>
        </w:rPr>
        <w:t xml:space="preserve">: dos personas deben distinguir células "sanas" o "enfermas" en diapositivas. El sujeto A recibe retroalimentación verídica sobre sus propios diagnósticos y aprende con rapidez y sencillez. El sujeto B, sin saberlo, recibe una retroalimentación que en realidad corresponde a los aciertos o errores de A, no a los suyos propios; en consecuencia, B elabora explicaciones cada vez más sutiles, complejas y contradictorias para un orden que en verdad no puede descubrir porque no existe para él. Lo más revelador es que A, lejos de rechazar las explicaciones "absurdas" de B, queda impresionado por su aparente sofisticación y termina adoptándolas, empeorando sus propios resultados. Watzlawick concluye que una explicación, una vez que mitiga la angustia de la desinformación, se vuelve "auto-obturadora": no admite refutación, aunque llegue nueva evidencia en </w:t>
      </w:r>
      <w:proofErr w:type="gramStart"/>
      <w:r w:rsidRPr="00BD5F30">
        <w:rPr>
          <w:rFonts w:ascii="Aptos" w:eastAsia="source serif 4" w:hAnsi="Aptos" w:cs="source serif 4"/>
          <w:color w:val="000000"/>
          <w:sz w:val="20"/>
          <w:szCs w:val="20"/>
        </w:rPr>
        <w:t>contra.[</w:t>
      </w:r>
      <w:proofErr w:type="gramEnd"/>
      <w:r w:rsidRPr="00BD5F30">
        <w:rPr>
          <w:rFonts w:ascii="Aptos" w:eastAsia="source serif 4" w:hAnsi="Aptos" w:cs="source serif 4"/>
          <w:color w:val="000000"/>
          <w:sz w:val="20"/>
          <w:szCs w:val="20"/>
        </w:rPr>
        <w:t>^3]</w:t>
      </w:r>
    </w:p>
    <w:p w14:paraId="6DA12531" w14:textId="77777777" w:rsidR="00AD5F7F" w:rsidRPr="00BD5F30" w:rsidRDefault="00000000" w:rsidP="00BD5F30">
      <w:pPr>
        <w:numPr>
          <w:ilvl w:val="0"/>
          <w:numId w:val="1"/>
        </w:numPr>
        <w:spacing w:after="0" w:line="240" w:lineRule="auto"/>
        <w:rPr>
          <w:rFonts w:ascii="Aptos" w:hAnsi="Aptos"/>
          <w:sz w:val="20"/>
          <w:szCs w:val="20"/>
        </w:rPr>
      </w:pPr>
      <w:r w:rsidRPr="00BD5F30">
        <w:rPr>
          <w:rFonts w:ascii="Aptos" w:eastAsia="source serif 4" w:hAnsi="Aptos" w:cs="source serif 4"/>
          <w:b/>
          <w:color w:val="000000"/>
          <w:sz w:val="20"/>
          <w:szCs w:val="20"/>
        </w:rPr>
        <w:t>La máquina tragaperras de múltiples brazos</w:t>
      </w:r>
      <w:r w:rsidRPr="00BD5F30">
        <w:rPr>
          <w:rFonts w:ascii="Aptos" w:eastAsia="source serif 4" w:hAnsi="Aptos" w:cs="source serif 4"/>
          <w:color w:val="000000"/>
          <w:sz w:val="20"/>
          <w:szCs w:val="20"/>
        </w:rPr>
        <w:t xml:space="preserve">: sujetos deben descubrir qué botón produce una recompensa (un zumbido) que en realidad es completamente no contingente (aleatoria). Tras un período sin ninguna recompensa y luego una fase de recompensa total, los sujetos desarrollan una "solución" en la que creen firmemente, y se resisten a aceptar —incluso viendo el mecanismo interno del aparato— que todo fue azar. Watzlawick extrae la lección de que, ante hechos que contradicen una explicación costosamente alcanzada, preferimos calificar de "falsos" esos hechos antes que modificar nuestra explicación; este mecanismo, elevado a escala social e histórica, es la raíz de explicaciones "irrefutables" propias de la inquisición, el racismo o las ideologías </w:t>
      </w:r>
      <w:proofErr w:type="gramStart"/>
      <w:r w:rsidRPr="00BD5F30">
        <w:rPr>
          <w:rFonts w:ascii="Aptos" w:eastAsia="source serif 4" w:hAnsi="Aptos" w:cs="source serif 4"/>
          <w:color w:val="000000"/>
          <w:sz w:val="20"/>
          <w:szCs w:val="20"/>
        </w:rPr>
        <w:t>totalitarias.[</w:t>
      </w:r>
      <w:proofErr w:type="gramEnd"/>
      <w:r w:rsidRPr="00BD5F30">
        <w:rPr>
          <w:rFonts w:ascii="Aptos" w:eastAsia="source serif 4" w:hAnsi="Aptos" w:cs="source serif 4"/>
          <w:color w:val="000000"/>
          <w:sz w:val="20"/>
          <w:szCs w:val="20"/>
        </w:rPr>
        <w:t>^3]</w:t>
      </w:r>
    </w:p>
    <w:p w14:paraId="5A1CB06D"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Estos experimentos evidencian que el orden y el caos no son propiedades objetivas del mundo, sino dimensiones que dependen enteramente de la perspectiva del observador que las </w:t>
      </w:r>
      <w:proofErr w:type="gramStart"/>
      <w:r w:rsidRPr="00BD5F30">
        <w:rPr>
          <w:rFonts w:ascii="Aptos" w:eastAsia="source serif 4" w:hAnsi="Aptos" w:cs="source serif 4"/>
          <w:color w:val="000000"/>
          <w:sz w:val="20"/>
          <w:szCs w:val="20"/>
        </w:rPr>
        <w:t>puntúa.[</w:t>
      </w:r>
      <w:proofErr w:type="gramEnd"/>
      <w:r w:rsidRPr="00BD5F30">
        <w:rPr>
          <w:rFonts w:ascii="Aptos" w:eastAsia="source serif 4" w:hAnsi="Aptos" w:cs="source serif 4"/>
          <w:color w:val="000000"/>
          <w:sz w:val="20"/>
          <w:szCs w:val="20"/>
        </w:rPr>
        <w:t>^3]</w:t>
      </w:r>
    </w:p>
    <w:p w14:paraId="19A92788" w14:textId="77777777" w:rsidR="00AD5F7F" w:rsidRPr="00BD5F30" w:rsidRDefault="00000000" w:rsidP="00BD5F30">
      <w:pPr>
        <w:spacing w:after="0" w:line="240" w:lineRule="auto"/>
        <w:ind w:left="-30"/>
        <w:rPr>
          <w:rFonts w:ascii="Aptos" w:hAnsi="Aptos"/>
          <w:sz w:val="20"/>
          <w:szCs w:val="20"/>
        </w:rPr>
      </w:pPr>
      <w:bookmarkStart w:id="3" w:name="fundamento_teórico_de_los_axiomas_3265ff"/>
      <w:r w:rsidRPr="00BD5F30">
        <w:rPr>
          <w:rFonts w:ascii="Aptos" w:eastAsia="source serif 4" w:hAnsi="Aptos" w:cs="source serif 4"/>
          <w:b/>
          <w:color w:val="000000"/>
          <w:sz w:val="20"/>
          <w:szCs w:val="20"/>
        </w:rPr>
        <w:t>Fundamento teórico de los axiomas: de la comunicación a la emoción</w:t>
      </w:r>
      <w:bookmarkEnd w:id="3"/>
    </w:p>
    <w:p w14:paraId="095E4F65"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Los cinco axiomas de la comunicación humana (Watzlawick, Beavin y Jackson, 1967) siguen siendo, casi cinco décadas después, el primer contacto de los estudiantes con la epistemología sistémica y los cimientos del pensamiento del terapeuta relacional. Laso Ortiz denuncia </w:t>
      </w:r>
      <w:proofErr w:type="gramStart"/>
      <w:r w:rsidRPr="00BD5F30">
        <w:rPr>
          <w:rFonts w:ascii="Aptos" w:eastAsia="source serif 4" w:hAnsi="Aptos" w:cs="source serif 4"/>
          <w:color w:val="000000"/>
          <w:sz w:val="20"/>
          <w:szCs w:val="20"/>
        </w:rPr>
        <w:t>que</w:t>
      </w:r>
      <w:proofErr w:type="gramEnd"/>
      <w:r w:rsidRPr="00BD5F30">
        <w:rPr>
          <w:rFonts w:ascii="Aptos" w:eastAsia="source serif 4" w:hAnsi="Aptos" w:cs="source serif 4"/>
          <w:color w:val="000000"/>
          <w:sz w:val="20"/>
          <w:szCs w:val="20"/>
        </w:rPr>
        <w:t xml:space="preserve"> en su libro más reciente, Bertrando (2011) señala que "el trabajo con emociones es el menos teorizado en la literatura sistémica", y que incluso los textos introductorios de terapia familiar dedican a la emoción capítulos superficiales que terminan derivando hacia el apego sin abordar la emoción en sí misma. Su proyecto explícito es mostrar que los axiomas clásicos se derivan, a su vez, de la estructura emocional humana, de modo que atendiendo a este proceso afectivo subyacente los terapeutas puedan intervenir de manera más eficaz y </w:t>
      </w:r>
      <w:proofErr w:type="gramStart"/>
      <w:r w:rsidRPr="00BD5F30">
        <w:rPr>
          <w:rFonts w:ascii="Aptos" w:eastAsia="source serif 4" w:hAnsi="Aptos" w:cs="source serif 4"/>
          <w:color w:val="000000"/>
          <w:sz w:val="20"/>
          <w:szCs w:val="20"/>
        </w:rPr>
        <w:t>directa.[</w:t>
      </w:r>
      <w:proofErr w:type="gramEnd"/>
      <w:r w:rsidRPr="00BD5F30">
        <w:rPr>
          <w:rFonts w:ascii="Aptos" w:eastAsia="source serif 4" w:hAnsi="Aptos" w:cs="source serif 4"/>
          <w:color w:val="000000"/>
          <w:sz w:val="20"/>
          <w:szCs w:val="20"/>
        </w:rPr>
        <w:t>^2]</w:t>
      </w:r>
    </w:p>
    <w:p w14:paraId="02189802" w14:textId="77777777" w:rsidR="00AD5F7F" w:rsidRPr="00BD5F30" w:rsidRDefault="00000000" w:rsidP="00BD5F30">
      <w:pPr>
        <w:spacing w:after="0" w:line="240" w:lineRule="auto"/>
        <w:ind w:left="-30"/>
        <w:rPr>
          <w:rFonts w:ascii="Aptos" w:hAnsi="Aptos"/>
          <w:sz w:val="20"/>
          <w:szCs w:val="20"/>
        </w:rPr>
      </w:pPr>
      <w:bookmarkStart w:id="4" w:name="axioma_1_no_es_posible_no_comunic_697a6d"/>
      <w:r w:rsidRPr="00BD5F30">
        <w:rPr>
          <w:rFonts w:ascii="Aptos" w:eastAsia="source serif 4" w:hAnsi="Aptos" w:cs="source serif 4"/>
          <w:b/>
          <w:color w:val="000000"/>
          <w:sz w:val="20"/>
          <w:szCs w:val="20"/>
        </w:rPr>
        <w:t>Axioma 1: No es posible no comunicar / no resonar</w:t>
      </w:r>
      <w:bookmarkEnd w:id="4"/>
    </w:p>
    <w:p w14:paraId="048C2EB1"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Formulación clásica.</w:t>
      </w:r>
      <w:r w:rsidRPr="00BD5F30">
        <w:rPr>
          <w:rFonts w:ascii="Aptos" w:eastAsia="source serif 4" w:hAnsi="Aptos" w:cs="source serif 4"/>
          <w:color w:val="000000"/>
          <w:sz w:val="20"/>
          <w:szCs w:val="20"/>
        </w:rPr>
        <w:t xml:space="preserve"> Para las personas que comparten un mismo espacio y tiempo es imposible no comunicar, sin importar la intención: el pasajero absorto en su libro o el cónyuge abstraído en la televisión comunican activamente, con su actitud, su rechazo a interactuar. Watzlawick explica esto apelando a que "no hay nada que sea lo contrario de conducta". Laso Ortiz objeta que esta explicación es insuficiente: no aclara por qué, además de comportarnos, estamos siempre respondiendo al comportamiento de los otros y orientando nuestras acciones hacia ellos. Un fragmento de conducta no es, en sí mismo, un mensaje; el mensaje consiste en "</w:t>
      </w:r>
      <w:proofErr w:type="gramStart"/>
      <w:r w:rsidRPr="00BD5F30">
        <w:rPr>
          <w:rFonts w:ascii="Aptos" w:eastAsia="source serif 4" w:hAnsi="Aptos" w:cs="source serif 4"/>
          <w:color w:val="000000"/>
          <w:sz w:val="20"/>
          <w:szCs w:val="20"/>
        </w:rPr>
        <w:t>conducta más significado</w:t>
      </w:r>
      <w:proofErr w:type="gramEnd"/>
      <w:r w:rsidRPr="00BD5F30">
        <w:rPr>
          <w:rFonts w:ascii="Aptos" w:eastAsia="source serif 4" w:hAnsi="Aptos" w:cs="source serif 4"/>
          <w:color w:val="000000"/>
          <w:sz w:val="20"/>
          <w:szCs w:val="20"/>
        </w:rPr>
        <w:t>", es decir, en el comportamiento del emisor más la interpretación del receptor.[</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10E7E4FE"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Actualización: "no es posible no resonar".</w:t>
      </w:r>
      <w:r w:rsidRPr="00BD5F30">
        <w:rPr>
          <w:rFonts w:ascii="Aptos" w:eastAsia="source serif 4" w:hAnsi="Aptos" w:cs="source serif 4"/>
          <w:color w:val="000000"/>
          <w:sz w:val="20"/>
          <w:szCs w:val="20"/>
        </w:rPr>
        <w:t xml:space="preserve"> Laso Ortiz identifica el fenómeno más fundamental detrás de la imposibilidad de no comunicar: la imposibilidad de no conectarse, de permanecer impasibles ante la mera presencia de otro. El sustento biológico son las </w:t>
      </w:r>
      <w:r w:rsidRPr="00BD5F30">
        <w:rPr>
          <w:rFonts w:ascii="Aptos" w:eastAsia="source serif 4" w:hAnsi="Aptos" w:cs="source serif 4"/>
          <w:b/>
          <w:color w:val="000000"/>
          <w:sz w:val="20"/>
          <w:szCs w:val="20"/>
        </w:rPr>
        <w:t>neuronas espejo</w:t>
      </w:r>
      <w:r w:rsidRPr="00BD5F30">
        <w:rPr>
          <w:rFonts w:ascii="Aptos" w:eastAsia="source serif 4" w:hAnsi="Aptos" w:cs="source serif 4"/>
          <w:color w:val="000000"/>
          <w:sz w:val="20"/>
          <w:szCs w:val="20"/>
        </w:rPr>
        <w:t>, que se activan tanto al ejecutar una acción como al observarla en un congénere, permitiendo interpretarla como orientada a un objetivo. Más importante aún: existen neuronas espejo inervadas específicamente con los músculos de la expresión facial emocional, que se activan tanto al adoptar una expresión de alguna "emoción básica" como al ver a otro adoptarla —lo que subyace a la capacidad empática, ya que comprender al otro implica recrear en el propio interior su estado emocional.[</w:t>
      </w:r>
      <w:r w:rsidRPr="00BD5F30">
        <w:rPr>
          <w:rFonts w:ascii="Aptos" w:eastAsia="source serif 4" w:hAnsi="Aptos" w:cs="source serif 4"/>
          <w:color w:val="000000"/>
          <w:sz w:val="20"/>
          <w:szCs w:val="20"/>
          <w:vertAlign w:val="superscript"/>
        </w:rPr>
        <w:t>2][</w:t>
      </w:r>
      <w:r w:rsidRPr="00BD5F30">
        <w:rPr>
          <w:rFonts w:ascii="Aptos" w:eastAsia="source serif 4" w:hAnsi="Aptos" w:cs="source serif 4"/>
          <w:color w:val="000000"/>
          <w:sz w:val="20"/>
          <w:szCs w:val="20"/>
        </w:rPr>
        <w:t>1]</w:t>
      </w:r>
    </w:p>
    <w:p w14:paraId="2B48A095"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Esta conexión se evidencia en el </w:t>
      </w:r>
      <w:r w:rsidRPr="00BD5F30">
        <w:rPr>
          <w:rFonts w:ascii="Aptos" w:eastAsia="source serif 4" w:hAnsi="Aptos" w:cs="source serif 4"/>
          <w:b/>
          <w:color w:val="000000"/>
          <w:sz w:val="20"/>
          <w:szCs w:val="20"/>
        </w:rPr>
        <w:t>contagio emocional</w:t>
      </w:r>
      <w:r w:rsidRPr="00BD5F30">
        <w:rPr>
          <w:rFonts w:ascii="Aptos" w:eastAsia="source serif 4" w:hAnsi="Aptos" w:cs="source serif 4"/>
          <w:color w:val="000000"/>
          <w:sz w:val="20"/>
          <w:szCs w:val="20"/>
        </w:rPr>
        <w:t xml:space="preserve">: la tendencia a imitar y sincronizarse automáticamente con expresiones faciales, vocalizaciones, posturas y movimientos de otra persona, fenómeno ubicuo que nace de la sincronización mutua de patrones de movimiento y conducta paraverbal entre los participantes de una interacción. Esta capacidad de resonar otorga ventajas evolutivas cruciales: permite anticipar la conducta futura de los coespecíficos (no solo reaccionar al presente), coordinar acción cooperativa a mediano plazo y </w:t>
      </w:r>
      <w:r w:rsidRPr="00BD5F30">
        <w:rPr>
          <w:rFonts w:ascii="Aptos" w:eastAsia="source serif 4" w:hAnsi="Aptos" w:cs="source serif 4"/>
          <w:color w:val="000000"/>
          <w:sz w:val="20"/>
          <w:szCs w:val="20"/>
        </w:rPr>
        <w:lastRenderedPageBreak/>
        <w:t>construir la "intencionalidad colectiva" que sostiene instituciones y sociedades. Como contrapartida, los seres humanos transmitimos constantemente información relacional —codificada en postura, gestos y conducta paraverbal— de manera involuntaria; esta transparencia emocional inconsciente es la raíz del problema del doble vínculo, donde se produce una incongruencia entre lo digital y lo analógico junto con la falta de conciencia del emisor sobre su propio estado emocional de fondo.[</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1C454730" w14:textId="77777777" w:rsidR="00AD5F7F" w:rsidRPr="00BD5F30" w:rsidRDefault="00000000" w:rsidP="00BD5F30">
      <w:pPr>
        <w:spacing w:after="0" w:line="240" w:lineRule="auto"/>
        <w:ind w:left="-30"/>
        <w:rPr>
          <w:rFonts w:ascii="Aptos" w:hAnsi="Aptos"/>
          <w:sz w:val="20"/>
          <w:szCs w:val="20"/>
        </w:rPr>
      </w:pPr>
      <w:bookmarkStart w:id="5" w:name="axioma_2_las_emociones_como_clasi_754981"/>
      <w:r w:rsidRPr="00BD5F30">
        <w:rPr>
          <w:rFonts w:ascii="Aptos" w:eastAsia="source serif 4" w:hAnsi="Aptos" w:cs="source serif 4"/>
          <w:b/>
          <w:color w:val="000000"/>
          <w:sz w:val="20"/>
          <w:szCs w:val="20"/>
        </w:rPr>
        <w:t>Axioma 2: Las emociones como clasificadoras del contenido</w:t>
      </w:r>
      <w:bookmarkEnd w:id="5"/>
    </w:p>
    <w:p w14:paraId="28C8D079"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Formulación clásica.</w:t>
      </w:r>
      <w:r w:rsidRPr="00BD5F30">
        <w:rPr>
          <w:rFonts w:ascii="Aptos" w:eastAsia="source serif 4" w:hAnsi="Aptos" w:cs="source serif 4"/>
          <w:color w:val="000000"/>
          <w:sz w:val="20"/>
          <w:szCs w:val="20"/>
        </w:rPr>
        <w:t xml:space="preserve"> Todo mensaje conlleva un aspecto de </w:t>
      </w:r>
      <w:r w:rsidRPr="00BD5F30">
        <w:rPr>
          <w:rFonts w:ascii="Aptos" w:eastAsia="source serif 4" w:hAnsi="Aptos" w:cs="source serif 4"/>
          <w:b/>
          <w:color w:val="000000"/>
          <w:sz w:val="20"/>
          <w:szCs w:val="20"/>
        </w:rPr>
        <w:t>contenido</w:t>
      </w:r>
      <w:r w:rsidRPr="00BD5F30">
        <w:rPr>
          <w:rFonts w:ascii="Aptos" w:eastAsia="source serif 4" w:hAnsi="Aptos" w:cs="source serif 4"/>
          <w:color w:val="000000"/>
          <w:sz w:val="20"/>
          <w:szCs w:val="20"/>
        </w:rPr>
        <w:t xml:space="preserve"> (información explícita, "informe") y un aspecto </w:t>
      </w:r>
      <w:r w:rsidRPr="00BD5F30">
        <w:rPr>
          <w:rFonts w:ascii="Aptos" w:eastAsia="source serif 4" w:hAnsi="Aptos" w:cs="source serif 4"/>
          <w:b/>
          <w:color w:val="000000"/>
          <w:sz w:val="20"/>
          <w:szCs w:val="20"/>
        </w:rPr>
        <w:t>relacional o conativo</w:t>
      </w:r>
      <w:r w:rsidRPr="00BD5F30">
        <w:rPr>
          <w:rFonts w:ascii="Aptos" w:eastAsia="source serif 4" w:hAnsi="Aptos" w:cs="source serif 4"/>
          <w:color w:val="000000"/>
          <w:sz w:val="20"/>
          <w:szCs w:val="20"/>
        </w:rPr>
        <w:t xml:space="preserve"> (metamensaje, "mandato") que enmarca al contenido y establece la metacomunicación entre los hablantes. Watzlawick ilustra esto con el ejemplo de una mujer que pregunta a otra "¿Son auténticas esas perlas?": el contenido es inequívoco, pero el tono, contexto y expresión facial pueden sugerir una relación amistosa, competitiva o comercial. Laso Ortiz destaca que este análisis, pese a ser pionero, deja sin resolver una pregunta que ha pasado curiosamente desapercibida: si la metacomunicación "clasifica" al contenido, ¿con qué sistema de categorías lo hace?.[</w:t>
      </w:r>
      <w:r w:rsidRPr="00BD5F30">
        <w:rPr>
          <w:rFonts w:ascii="Aptos" w:eastAsia="source serif 4" w:hAnsi="Aptos" w:cs="source serif 4"/>
          <w:color w:val="000000"/>
          <w:sz w:val="20"/>
          <w:szCs w:val="20"/>
          <w:vertAlign w:val="superscript"/>
        </w:rPr>
        <w:t>2][</w:t>
      </w:r>
      <w:r w:rsidRPr="00BD5F30">
        <w:rPr>
          <w:rFonts w:ascii="Aptos" w:eastAsia="source serif 4" w:hAnsi="Aptos" w:cs="source serif 4"/>
          <w:color w:val="000000"/>
          <w:sz w:val="20"/>
          <w:szCs w:val="20"/>
        </w:rPr>
        <w:t>1]</w:t>
      </w:r>
    </w:p>
    <w:p w14:paraId="3AF26D7D"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Actualización: el marco emocional del mensaje.</w:t>
      </w:r>
      <w:r w:rsidRPr="00BD5F30">
        <w:rPr>
          <w:rFonts w:ascii="Aptos" w:eastAsia="source serif 4" w:hAnsi="Aptos" w:cs="source serif 4"/>
          <w:color w:val="000000"/>
          <w:sz w:val="20"/>
          <w:szCs w:val="20"/>
        </w:rPr>
        <w:t xml:space="preserve"> La respuesta de Laso Ortiz es que las </w:t>
      </w:r>
      <w:r w:rsidRPr="00BD5F30">
        <w:rPr>
          <w:rFonts w:ascii="Aptos" w:eastAsia="source serif 4" w:hAnsi="Aptos" w:cs="source serif 4"/>
          <w:b/>
          <w:color w:val="000000"/>
          <w:sz w:val="20"/>
          <w:szCs w:val="20"/>
        </w:rPr>
        <w:t>emociones</w:t>
      </w:r>
      <w:r w:rsidRPr="00BD5F30">
        <w:rPr>
          <w:rFonts w:ascii="Aptos" w:eastAsia="source serif 4" w:hAnsi="Aptos" w:cs="source serif 4"/>
          <w:color w:val="000000"/>
          <w:sz w:val="20"/>
          <w:szCs w:val="20"/>
        </w:rPr>
        <w:t xml:space="preserve"> constituyen precisamente ese sistema de categorías biológicas y culturales que clasifican y dotan de significado relacional a los mensajes, enmarcando el contenido dentro de un escenario prototípico evolutivo que desencadena una estrategia de supervivencia. Propone que existen solo </w:t>
      </w:r>
      <w:r w:rsidRPr="00BD5F30">
        <w:rPr>
          <w:rFonts w:ascii="Aptos" w:eastAsia="source serif 4" w:hAnsi="Aptos" w:cs="source serif 4"/>
          <w:b/>
          <w:color w:val="000000"/>
          <w:sz w:val="20"/>
          <w:szCs w:val="20"/>
        </w:rPr>
        <w:t>cuatro emociones básicas universales</w:t>
      </w:r>
      <w:r w:rsidRPr="00BD5F30">
        <w:rPr>
          <w:rFonts w:ascii="Aptos" w:eastAsia="source serif 4" w:hAnsi="Aptos" w:cs="source serif 4"/>
          <w:color w:val="000000"/>
          <w:sz w:val="20"/>
          <w:szCs w:val="20"/>
        </w:rPr>
        <w:t>, cada una con su escenario y estrategia concomitante:[</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015F2719" w14:textId="77777777" w:rsidR="00AD5F7F" w:rsidRPr="00BD5F30" w:rsidRDefault="00000000" w:rsidP="00BD5F30">
      <w:pPr>
        <w:numPr>
          <w:ilvl w:val="0"/>
          <w:numId w:val="2"/>
        </w:numPr>
        <w:spacing w:after="0" w:line="240" w:lineRule="auto"/>
        <w:rPr>
          <w:rFonts w:ascii="Aptos" w:hAnsi="Aptos"/>
          <w:sz w:val="20"/>
          <w:szCs w:val="20"/>
        </w:rPr>
      </w:pPr>
      <w:r w:rsidRPr="00BD5F30">
        <w:rPr>
          <w:rFonts w:ascii="Aptos" w:eastAsia="source serif 4" w:hAnsi="Aptos" w:cs="source serif 4"/>
          <w:b/>
          <w:color w:val="000000"/>
          <w:sz w:val="20"/>
          <w:szCs w:val="20"/>
        </w:rPr>
        <w:t>Alegría</w:t>
      </w:r>
      <w:r w:rsidRPr="00BD5F30">
        <w:rPr>
          <w:rFonts w:ascii="Aptos" w:eastAsia="source serif 4" w:hAnsi="Aptos" w:cs="source serif 4"/>
          <w:color w:val="000000"/>
          <w:sz w:val="20"/>
          <w:szCs w:val="20"/>
        </w:rPr>
        <w:t>: el individuo ha ganado o está aprovechando un recurso que potencia sus intereses vitales; se expande y flexibiliza, literal y metafóricamente, para integrarlo y asegurar su permanencia.[</w:t>
      </w:r>
      <w:r w:rsidRPr="00BD5F30">
        <w:rPr>
          <w:rFonts w:ascii="Aptos" w:eastAsia="source serif 4" w:hAnsi="Aptos" w:cs="source serif 4"/>
          <w:color w:val="000000"/>
          <w:sz w:val="20"/>
          <w:szCs w:val="20"/>
          <w:vertAlign w:val="superscript"/>
        </w:rPr>
        <w:t>2][</w:t>
      </w:r>
      <w:r w:rsidRPr="00BD5F30">
        <w:rPr>
          <w:rFonts w:ascii="Aptos" w:eastAsia="source serif 4" w:hAnsi="Aptos" w:cs="source serif 4"/>
          <w:color w:val="000000"/>
          <w:sz w:val="20"/>
          <w:szCs w:val="20"/>
        </w:rPr>
        <w:t>1]</w:t>
      </w:r>
    </w:p>
    <w:p w14:paraId="3A6B9B3C" w14:textId="77777777" w:rsidR="00AD5F7F" w:rsidRPr="00BD5F30" w:rsidRDefault="00000000" w:rsidP="00BD5F30">
      <w:pPr>
        <w:numPr>
          <w:ilvl w:val="0"/>
          <w:numId w:val="2"/>
        </w:numPr>
        <w:spacing w:after="0" w:line="240" w:lineRule="auto"/>
        <w:rPr>
          <w:rFonts w:ascii="Aptos" w:hAnsi="Aptos"/>
          <w:sz w:val="20"/>
          <w:szCs w:val="20"/>
        </w:rPr>
      </w:pPr>
      <w:r w:rsidRPr="00BD5F30">
        <w:rPr>
          <w:rFonts w:ascii="Aptos" w:eastAsia="source serif 4" w:hAnsi="Aptos" w:cs="source serif 4"/>
          <w:b/>
          <w:color w:val="000000"/>
          <w:sz w:val="20"/>
          <w:szCs w:val="20"/>
        </w:rPr>
        <w:t>Tristeza</w:t>
      </w:r>
      <w:r w:rsidRPr="00BD5F30">
        <w:rPr>
          <w:rFonts w:ascii="Aptos" w:eastAsia="source serif 4" w:hAnsi="Aptos" w:cs="source serif 4"/>
          <w:color w:val="000000"/>
          <w:sz w:val="20"/>
          <w:szCs w:val="20"/>
        </w:rPr>
        <w:t>: ha perdido un recurso crucial, en particular un vínculo afectivo; se repliega para minimizar nuevas pérdidas, pasar revista a sus recursos y cobrar fuerzas.[</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4D2F2CA1" w14:textId="77777777" w:rsidR="00AD5F7F" w:rsidRPr="00BD5F30" w:rsidRDefault="00000000" w:rsidP="00BD5F30">
      <w:pPr>
        <w:numPr>
          <w:ilvl w:val="0"/>
          <w:numId w:val="2"/>
        </w:numPr>
        <w:spacing w:after="0" w:line="240" w:lineRule="auto"/>
        <w:rPr>
          <w:rFonts w:ascii="Aptos" w:hAnsi="Aptos"/>
          <w:sz w:val="20"/>
          <w:szCs w:val="20"/>
        </w:rPr>
      </w:pPr>
      <w:r w:rsidRPr="00BD5F30">
        <w:rPr>
          <w:rFonts w:ascii="Aptos" w:eastAsia="source serif 4" w:hAnsi="Aptos" w:cs="source serif 4"/>
          <w:b/>
          <w:color w:val="000000"/>
          <w:sz w:val="20"/>
          <w:szCs w:val="20"/>
        </w:rPr>
        <w:t>Miedo/sorpresa</w:t>
      </w:r>
      <w:r w:rsidRPr="00BD5F30">
        <w:rPr>
          <w:rFonts w:ascii="Aptos" w:eastAsia="source serif 4" w:hAnsi="Aptos" w:cs="source serif 4"/>
          <w:color w:val="000000"/>
          <w:sz w:val="20"/>
          <w:szCs w:val="20"/>
        </w:rPr>
        <w:t>: ha sucedido algo inesperado y no trivial; se detiene para reorientarse, enfocarse en la novedad y discernir si es amenazante, huyendo si lo fuera.[</w:t>
      </w:r>
      <w:r w:rsidRPr="00BD5F30">
        <w:rPr>
          <w:rFonts w:ascii="Aptos" w:eastAsia="source serif 4" w:hAnsi="Aptos" w:cs="source serif 4"/>
          <w:color w:val="000000"/>
          <w:sz w:val="20"/>
          <w:szCs w:val="20"/>
          <w:vertAlign w:val="superscript"/>
        </w:rPr>
        <w:t>2][</w:t>
      </w:r>
      <w:r w:rsidRPr="00BD5F30">
        <w:rPr>
          <w:rFonts w:ascii="Aptos" w:eastAsia="source serif 4" w:hAnsi="Aptos" w:cs="source serif 4"/>
          <w:color w:val="000000"/>
          <w:sz w:val="20"/>
          <w:szCs w:val="20"/>
        </w:rPr>
        <w:t>1]</w:t>
      </w:r>
    </w:p>
    <w:p w14:paraId="25D00E02" w14:textId="77777777" w:rsidR="00AD5F7F" w:rsidRPr="00BD5F30" w:rsidRDefault="00000000" w:rsidP="00BD5F30">
      <w:pPr>
        <w:numPr>
          <w:ilvl w:val="0"/>
          <w:numId w:val="2"/>
        </w:numPr>
        <w:spacing w:after="0" w:line="240" w:lineRule="auto"/>
        <w:rPr>
          <w:rFonts w:ascii="Aptos" w:hAnsi="Aptos"/>
          <w:sz w:val="20"/>
          <w:szCs w:val="20"/>
        </w:rPr>
      </w:pPr>
      <w:r w:rsidRPr="00BD5F30">
        <w:rPr>
          <w:rFonts w:ascii="Aptos" w:eastAsia="source serif 4" w:hAnsi="Aptos" w:cs="source serif 4"/>
          <w:b/>
          <w:color w:val="000000"/>
          <w:sz w:val="20"/>
          <w:szCs w:val="20"/>
        </w:rPr>
        <w:t>Asco/ira</w:t>
      </w:r>
      <w:r w:rsidRPr="00BD5F30">
        <w:rPr>
          <w:rFonts w:ascii="Aptos" w:eastAsia="source serif 4" w:hAnsi="Aptos" w:cs="source serif 4"/>
          <w:color w:val="000000"/>
          <w:sz w:val="20"/>
          <w:szCs w:val="20"/>
        </w:rPr>
        <w:t>: algo dañino amenaza con invadir al individuo o apropiarse de recursos clave; aleja y protege sus puntos de entrada mientras se compacta y tensa para cerrar el paso y expulsarlo.[</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39B61D52"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Las dos primeras son "puras" y sin ambigüedad; las dos últimas involucran cambios repentinos que pueden derivar en direcciones distintas. La complejidad emocional surge de que estas emociones se combinan en "haces" con capas primaria y secundaria —como notas que se superponen en un acorde musical—, de modo que emociones complejas (melancolía, vergüenza ajena) se erigen sobre una "nota base" que las ancla al interés vital en juego. En definitiva, la metacomunicación implícita en todo mensaje consiste en la clasificación tácita de la situación por parte del hablante dentro de alguna de las emociones </w:t>
      </w:r>
      <w:proofErr w:type="gramStart"/>
      <w:r w:rsidRPr="00BD5F30">
        <w:rPr>
          <w:rFonts w:ascii="Aptos" w:eastAsia="source serif 4" w:hAnsi="Aptos" w:cs="source serif 4"/>
          <w:color w:val="000000"/>
          <w:sz w:val="20"/>
          <w:szCs w:val="20"/>
        </w:rPr>
        <w:t>básicas.[</w:t>
      </w:r>
      <w:proofErr w:type="gramEnd"/>
      <w:r w:rsidRPr="00BD5F30">
        <w:rPr>
          <w:rFonts w:ascii="Aptos" w:eastAsia="source serif 4" w:hAnsi="Aptos" w:cs="source serif 4"/>
          <w:color w:val="000000"/>
          <w:sz w:val="20"/>
          <w:szCs w:val="20"/>
        </w:rPr>
        <w:t>^2]</w:t>
      </w:r>
    </w:p>
    <w:p w14:paraId="1A8FAE47" w14:textId="77777777" w:rsidR="00AD5F7F" w:rsidRPr="00BD5F30" w:rsidRDefault="00000000" w:rsidP="00BD5F30">
      <w:pPr>
        <w:spacing w:after="0" w:line="240" w:lineRule="auto"/>
        <w:ind w:left="-30"/>
        <w:rPr>
          <w:rFonts w:ascii="Aptos" w:hAnsi="Aptos"/>
          <w:sz w:val="20"/>
          <w:szCs w:val="20"/>
        </w:rPr>
      </w:pPr>
      <w:bookmarkStart w:id="6" w:name="axioma_3_la_puntuación_de_las_sec_292f59"/>
      <w:r w:rsidRPr="00BD5F30">
        <w:rPr>
          <w:rFonts w:ascii="Aptos" w:eastAsia="source serif 4" w:hAnsi="Aptos" w:cs="source serif 4"/>
          <w:b/>
          <w:color w:val="000000"/>
          <w:sz w:val="20"/>
          <w:szCs w:val="20"/>
        </w:rPr>
        <w:t>Axioma 3: La puntuación de las secuencias y las emociones mutuas</w:t>
      </w:r>
      <w:bookmarkEnd w:id="6"/>
    </w:p>
    <w:p w14:paraId="151DAB51"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Formulación clásica ("ecología de las ideas").</w:t>
      </w:r>
      <w:r w:rsidRPr="00BD5F30">
        <w:rPr>
          <w:rFonts w:ascii="Aptos" w:eastAsia="source serif 4" w:hAnsi="Aptos" w:cs="source serif 4"/>
          <w:color w:val="000000"/>
          <w:sz w:val="20"/>
          <w:szCs w:val="20"/>
        </w:rPr>
        <w:t xml:space="preserve"> Cada participante en una interacción tiende a interpretarla de manera idiosincrática y coherente con sus propios actos, fijándose solo en los eventos que apoyan esa interpretación e ignorando los que la contradicen; puesto que esto se aplica a todos por igual, se genera un patrón cuya permanencia se debe a la ceguera selectiva compartida. El ejemplo clásico de Watzlawick es la pareja en que "el marido dice que su retraimiento no es más que su defensa contra los constantes regaños de su mujer, mientras que ésta dirá que esa explicación constituye una distorsión burda de lo que realmente sucede en su matrimonio, esto es, que ella lo critica debido a su pasividad". </w:t>
      </w:r>
      <w:proofErr w:type="gramStart"/>
      <w:r w:rsidRPr="00BD5F30">
        <w:rPr>
          <w:rFonts w:ascii="Aptos" w:eastAsia="source serif 4" w:hAnsi="Aptos" w:cs="source serif 4"/>
          <w:color w:val="000000"/>
          <w:sz w:val="20"/>
          <w:szCs w:val="20"/>
        </w:rPr>
        <w:t>Este encaje entre acciones e interpretaciones mutuas, llamado por Bateson "ecología de las ideas", se representa mediante el diagrama de "nudo de corbata" (bow tie), ilustrado con la pareja George y Martha de "Who's Afraid of Virginia Woolf?</w:t>
      </w:r>
      <w:proofErr w:type="gramEnd"/>
      <w:r w:rsidRPr="00BD5F30">
        <w:rPr>
          <w:rFonts w:ascii="Aptos" w:eastAsia="source serif 4" w:hAnsi="Aptos" w:cs="source serif 4"/>
          <w:color w:val="000000"/>
          <w:sz w:val="20"/>
          <w:szCs w:val="20"/>
        </w:rPr>
        <w:t>": Martha solo "ve" los actos de George y su interpretación de los mismos, y viceversa, conectados únicamente a través de sus respectivas interpretaciones, siguiendo el dictum constructivista de que "no existe interacción instructiva".[</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2E420DE1"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Actualización: "ecología de las emociones".</w:t>
      </w:r>
      <w:r w:rsidRPr="00BD5F30">
        <w:rPr>
          <w:rFonts w:ascii="Aptos" w:eastAsia="source serif 4" w:hAnsi="Aptos" w:cs="source serif 4"/>
          <w:color w:val="000000"/>
          <w:sz w:val="20"/>
          <w:szCs w:val="20"/>
        </w:rPr>
        <w:t xml:space="preserve"> Laso Ortiz objeta que en esta ecología de las ideas "las emociones brillan por su ausencia", lo cual no hace justicia a su papel de raíz de la acción, tanto motivacional como temporalmente. La clasificación emocional tácita sobrepuja a la cognitiva consciente y la determina: si Martha se siente subrepticiamente triste por lo que vive como desprecio de George, tenderá a reaccionar con ira y suspicacia por más que él o el terapeuta se esfuercen en convencerla de que "no está viendo la totalidad del problema". Un aporte crucial es que la conexión emocional es </w:t>
      </w:r>
      <w:r w:rsidRPr="00BD5F30">
        <w:rPr>
          <w:rFonts w:ascii="Aptos" w:eastAsia="source serif 4" w:hAnsi="Aptos" w:cs="source serif 4"/>
          <w:b/>
          <w:color w:val="000000"/>
          <w:sz w:val="20"/>
          <w:szCs w:val="20"/>
        </w:rPr>
        <w:t>directa</w:t>
      </w:r>
      <w:r w:rsidRPr="00BD5F30">
        <w:rPr>
          <w:rFonts w:ascii="Aptos" w:eastAsia="source serif 4" w:hAnsi="Aptos" w:cs="source serif 4"/>
          <w:color w:val="000000"/>
          <w:sz w:val="20"/>
          <w:szCs w:val="20"/>
        </w:rPr>
        <w:t xml:space="preserve">, no mediada por la construcción cognitiva de la secuencia: las emociones emergen y enmarcan la interpretación desde antes, por el mecanismo del contagio emocional descrito en el axioma 1. Por eso la terapia de pareja exitosa no implica </w:t>
      </w:r>
      <w:r w:rsidRPr="00BD5F30">
        <w:rPr>
          <w:rFonts w:ascii="Aptos" w:eastAsia="source serif 4" w:hAnsi="Aptos" w:cs="source serif 4"/>
          <w:color w:val="000000"/>
          <w:sz w:val="20"/>
          <w:szCs w:val="20"/>
        </w:rPr>
        <w:lastRenderedPageBreak/>
        <w:t>únicamente desactivar los circuitos mutuos de ataque y crítica, sino favorecer la reconexión emocional a un nivel más profundo, el flujo del "amor complejo</w:t>
      </w:r>
      <w:proofErr w:type="gramStart"/>
      <w:r w:rsidRPr="00BD5F30">
        <w:rPr>
          <w:rFonts w:ascii="Aptos" w:eastAsia="source serif 4" w:hAnsi="Aptos" w:cs="source serif 4"/>
          <w:color w:val="000000"/>
          <w:sz w:val="20"/>
          <w:szCs w:val="20"/>
        </w:rPr>
        <w:t>".[</w:t>
      </w:r>
      <w:proofErr w:type="gramEnd"/>
      <w:r w:rsidRPr="00BD5F30">
        <w:rPr>
          <w:rFonts w:ascii="Aptos" w:eastAsia="source serif 4" w:hAnsi="Aptos" w:cs="source serif 4"/>
          <w:color w:val="000000"/>
          <w:sz w:val="20"/>
          <w:szCs w:val="20"/>
        </w:rPr>
        <w:t>^2]</w:t>
      </w:r>
    </w:p>
    <w:p w14:paraId="371B4735" w14:textId="77777777" w:rsidR="00AD5F7F" w:rsidRPr="00BD5F30" w:rsidRDefault="00000000" w:rsidP="00BD5F30">
      <w:pPr>
        <w:spacing w:after="0" w:line="240" w:lineRule="auto"/>
        <w:ind w:left="-30"/>
        <w:rPr>
          <w:rFonts w:ascii="Aptos" w:hAnsi="Aptos"/>
          <w:sz w:val="20"/>
          <w:szCs w:val="20"/>
        </w:rPr>
      </w:pPr>
      <w:bookmarkStart w:id="7" w:name="axioma_4_el_lenguaje_analógico_co_5d3789"/>
      <w:r w:rsidRPr="00BD5F30">
        <w:rPr>
          <w:rFonts w:ascii="Aptos" w:eastAsia="source serif 4" w:hAnsi="Aptos" w:cs="source serif 4"/>
          <w:b/>
          <w:color w:val="000000"/>
          <w:sz w:val="20"/>
          <w:szCs w:val="20"/>
        </w:rPr>
        <w:t>Axioma 4: El lenguaje analógico como expresión de la emoción</w:t>
      </w:r>
      <w:bookmarkEnd w:id="7"/>
    </w:p>
    <w:p w14:paraId="2C878742"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Formulación clásica.</w:t>
      </w:r>
      <w:r w:rsidRPr="00BD5F30">
        <w:rPr>
          <w:rFonts w:ascii="Aptos" w:eastAsia="source serif 4" w:hAnsi="Aptos" w:cs="source serif 4"/>
          <w:color w:val="000000"/>
          <w:sz w:val="20"/>
          <w:szCs w:val="20"/>
        </w:rPr>
        <w:t xml:space="preserve"> Los seres humanos se comunican tanto digital como analógicamente. El </w:t>
      </w:r>
      <w:r w:rsidRPr="00BD5F30">
        <w:rPr>
          <w:rFonts w:ascii="Aptos" w:eastAsia="source serif 4" w:hAnsi="Aptos" w:cs="source serif 4"/>
          <w:b/>
          <w:color w:val="000000"/>
          <w:sz w:val="20"/>
          <w:szCs w:val="20"/>
        </w:rPr>
        <w:t>lenguaje digital</w:t>
      </w:r>
      <w:r w:rsidRPr="00BD5F30">
        <w:rPr>
          <w:rFonts w:ascii="Aptos" w:eastAsia="source serif 4" w:hAnsi="Aptos" w:cs="source serif 4"/>
          <w:color w:val="000000"/>
          <w:sz w:val="20"/>
          <w:szCs w:val="20"/>
        </w:rPr>
        <w:t xml:space="preserve"> es arbitrario, discreto y convencional, con sintaxis lógica compleja y operadores poderosos (como la negación), pero carece de semántica relacional profunda. El </w:t>
      </w:r>
      <w:r w:rsidRPr="00BD5F30">
        <w:rPr>
          <w:rFonts w:ascii="Aptos" w:eastAsia="source serif 4" w:hAnsi="Aptos" w:cs="source serif 4"/>
          <w:b/>
          <w:color w:val="000000"/>
          <w:sz w:val="20"/>
          <w:szCs w:val="20"/>
        </w:rPr>
        <w:t>lenguaje analógico</w:t>
      </w:r>
      <w:r w:rsidRPr="00BD5F30">
        <w:rPr>
          <w:rFonts w:ascii="Aptos" w:eastAsia="source serif 4" w:hAnsi="Aptos" w:cs="source serif 4"/>
          <w:color w:val="000000"/>
          <w:sz w:val="20"/>
          <w:szCs w:val="20"/>
        </w:rPr>
        <w:t xml:space="preserve"> es continuo e imitativo —postura, gestos, mímica, tono de voz, ritmo—, posee semántica rica para la </w:t>
      </w:r>
      <w:proofErr w:type="gramStart"/>
      <w:r w:rsidRPr="00BD5F30">
        <w:rPr>
          <w:rFonts w:ascii="Aptos" w:eastAsia="source serif 4" w:hAnsi="Aptos" w:cs="source serif 4"/>
          <w:color w:val="000000"/>
          <w:sz w:val="20"/>
          <w:szCs w:val="20"/>
        </w:rPr>
        <w:t>relación</w:t>
      </w:r>
      <w:proofErr w:type="gramEnd"/>
      <w:r w:rsidRPr="00BD5F30">
        <w:rPr>
          <w:rFonts w:ascii="Aptos" w:eastAsia="source serif 4" w:hAnsi="Aptos" w:cs="source serif 4"/>
          <w:color w:val="000000"/>
          <w:sz w:val="20"/>
          <w:szCs w:val="20"/>
        </w:rPr>
        <w:t xml:space="preserve"> pero carece de sintaxis lógica o de negación inequívoca. La necesidad humana de traducir constantemente entre ambos lenguajes es fuente de malentendidos y patologías relacionales.[</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665CC1FF"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Laso Ortiz cuestiona esta dicotomía como artificial: incluso el disparo neuronal, prototipo de lo "digital" (0 o 1), en realidad codifica información mediante la variabilidad de su tasa de disparo, un fenómeno análogo; la comunicación entre neuronas depende de la liberación de neurotransmisores en cantidades variables. Concluye que lo digital y lo analógico conforman un </w:t>
      </w:r>
      <w:r w:rsidRPr="00BD5F30">
        <w:rPr>
          <w:rFonts w:ascii="Aptos" w:eastAsia="source serif 4" w:hAnsi="Aptos" w:cs="source serif 4"/>
          <w:b/>
          <w:color w:val="000000"/>
          <w:sz w:val="20"/>
          <w:szCs w:val="20"/>
        </w:rPr>
        <w:t>continuo</w:t>
      </w:r>
      <w:r w:rsidRPr="00BD5F30">
        <w:rPr>
          <w:rFonts w:ascii="Aptos" w:eastAsia="source serif 4" w:hAnsi="Aptos" w:cs="source serif 4"/>
          <w:color w:val="000000"/>
          <w:sz w:val="20"/>
          <w:szCs w:val="20"/>
        </w:rPr>
        <w:t xml:space="preserve">, no una dicotomía </w:t>
      </w:r>
      <w:proofErr w:type="gramStart"/>
      <w:r w:rsidRPr="00BD5F30">
        <w:rPr>
          <w:rFonts w:ascii="Aptos" w:eastAsia="source serif 4" w:hAnsi="Aptos" w:cs="source serif 4"/>
          <w:color w:val="000000"/>
          <w:sz w:val="20"/>
          <w:szCs w:val="20"/>
        </w:rPr>
        <w:t>tajante.[</w:t>
      </w:r>
      <w:proofErr w:type="gramEnd"/>
      <w:r w:rsidRPr="00BD5F30">
        <w:rPr>
          <w:rFonts w:ascii="Aptos" w:eastAsia="source serif 4" w:hAnsi="Aptos" w:cs="source serif 4"/>
          <w:color w:val="000000"/>
          <w:sz w:val="20"/>
          <w:szCs w:val="20"/>
        </w:rPr>
        <w:t>^2]</w:t>
      </w:r>
    </w:p>
    <w:p w14:paraId="0F8B375F"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Actualización: el continuo somático y de afectos.</w:t>
      </w:r>
      <w:r w:rsidRPr="00BD5F30">
        <w:rPr>
          <w:rFonts w:ascii="Aptos" w:eastAsia="source serif 4" w:hAnsi="Aptos" w:cs="source serif 4"/>
          <w:color w:val="000000"/>
          <w:sz w:val="20"/>
          <w:szCs w:val="20"/>
        </w:rPr>
        <w:t xml:space="preserve"> Laso Ortiz plantea la pregunta que había pasado inadvertida entre los propios autores clásicos: ¿de qué es análogo el lenguaje analógico? Su respuesta es que es análogo del </w:t>
      </w:r>
      <w:r w:rsidRPr="00BD5F30">
        <w:rPr>
          <w:rFonts w:ascii="Aptos" w:eastAsia="source serif 4" w:hAnsi="Aptos" w:cs="source serif 4"/>
          <w:b/>
          <w:color w:val="000000"/>
          <w:sz w:val="20"/>
          <w:szCs w:val="20"/>
        </w:rPr>
        <w:t>sustrato emocional</w:t>
      </w:r>
      <w:r w:rsidRPr="00BD5F30">
        <w:rPr>
          <w:rFonts w:ascii="Aptos" w:eastAsia="source serif 4" w:hAnsi="Aptos" w:cs="source serif 4"/>
          <w:color w:val="000000"/>
          <w:sz w:val="20"/>
          <w:szCs w:val="20"/>
        </w:rPr>
        <w:t xml:space="preserve">. Según el modelo PAD de Russell y Mehrabian, las emociones varían en tres dimensiones: </w:t>
      </w:r>
      <w:r w:rsidRPr="00BD5F30">
        <w:rPr>
          <w:rFonts w:ascii="Aptos" w:eastAsia="source serif 4" w:hAnsi="Aptos" w:cs="source serif 4"/>
          <w:b/>
          <w:color w:val="000000"/>
          <w:sz w:val="20"/>
          <w:szCs w:val="20"/>
        </w:rPr>
        <w:t>valencia</w:t>
      </w:r>
      <w:r w:rsidRPr="00BD5F30">
        <w:rPr>
          <w:rFonts w:ascii="Aptos" w:eastAsia="source serif 4" w:hAnsi="Aptos" w:cs="source serif 4"/>
          <w:color w:val="000000"/>
          <w:sz w:val="20"/>
          <w:szCs w:val="20"/>
        </w:rPr>
        <w:t xml:space="preserve"> (positiva-negativa, según si la situación potencia o menoscaba los intereses vitales), </w:t>
      </w:r>
      <w:r w:rsidRPr="00BD5F30">
        <w:rPr>
          <w:rFonts w:ascii="Aptos" w:eastAsia="source serif 4" w:hAnsi="Aptos" w:cs="source serif 4"/>
          <w:b/>
          <w:color w:val="000000"/>
          <w:sz w:val="20"/>
          <w:szCs w:val="20"/>
        </w:rPr>
        <w:t>intensidad/arousal</w:t>
      </w:r>
      <w:r w:rsidRPr="00BD5F30">
        <w:rPr>
          <w:rFonts w:ascii="Aptos" w:eastAsia="source serif 4" w:hAnsi="Aptos" w:cs="source serif 4"/>
          <w:color w:val="000000"/>
          <w:sz w:val="20"/>
          <w:szCs w:val="20"/>
        </w:rPr>
        <w:t xml:space="preserve"> (urgencia atribuida a la situación) y </w:t>
      </w:r>
      <w:r w:rsidRPr="00BD5F30">
        <w:rPr>
          <w:rFonts w:ascii="Aptos" w:eastAsia="source serif 4" w:hAnsi="Aptos" w:cs="source serif 4"/>
          <w:b/>
          <w:color w:val="000000"/>
          <w:sz w:val="20"/>
          <w:szCs w:val="20"/>
        </w:rPr>
        <w:t>dominancia</w:t>
      </w:r>
      <w:r w:rsidRPr="00BD5F30">
        <w:rPr>
          <w:rFonts w:ascii="Aptos" w:eastAsia="source serif 4" w:hAnsi="Aptos" w:cs="source serif 4"/>
          <w:color w:val="000000"/>
          <w:sz w:val="20"/>
          <w:szCs w:val="20"/>
        </w:rPr>
        <w:t>. Estas dimensiones se "encarnan" en indicadores no verbales concretos:[</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6AD7E1EB" w14:textId="77777777" w:rsidR="00AD5F7F" w:rsidRPr="00BD5F30" w:rsidRDefault="00000000" w:rsidP="00BD5F30">
      <w:pPr>
        <w:numPr>
          <w:ilvl w:val="0"/>
          <w:numId w:val="3"/>
        </w:numPr>
        <w:spacing w:after="0" w:line="240" w:lineRule="auto"/>
        <w:rPr>
          <w:rFonts w:ascii="Aptos" w:hAnsi="Aptos"/>
          <w:sz w:val="20"/>
          <w:szCs w:val="20"/>
        </w:rPr>
      </w:pPr>
      <w:r w:rsidRPr="00BD5F30">
        <w:rPr>
          <w:rFonts w:ascii="Aptos" w:eastAsia="source serif 4" w:hAnsi="Aptos" w:cs="source serif 4"/>
          <w:b/>
          <w:color w:val="000000"/>
          <w:sz w:val="20"/>
          <w:szCs w:val="20"/>
        </w:rPr>
        <w:t>Cercanía-distancia</w:t>
      </w:r>
      <w:r w:rsidRPr="00BD5F30">
        <w:rPr>
          <w:rFonts w:ascii="Aptos" w:eastAsia="source serif 4" w:hAnsi="Aptos" w:cs="source serif 4"/>
          <w:color w:val="000000"/>
          <w:sz w:val="20"/>
          <w:szCs w:val="20"/>
        </w:rPr>
        <w:t>: proporcional a la valencia; tendemos a acercarnos a lo que nos produce placer.[</w:t>
      </w:r>
      <w:r w:rsidRPr="00BD5F30">
        <w:rPr>
          <w:rFonts w:ascii="Aptos" w:eastAsia="source serif 4" w:hAnsi="Aptos" w:cs="source serif 4"/>
          <w:color w:val="000000"/>
          <w:sz w:val="20"/>
          <w:szCs w:val="20"/>
          <w:vertAlign w:val="superscript"/>
        </w:rPr>
        <w:t>2][</w:t>
      </w:r>
      <w:r w:rsidRPr="00BD5F30">
        <w:rPr>
          <w:rFonts w:ascii="Aptos" w:eastAsia="source serif 4" w:hAnsi="Aptos" w:cs="source serif 4"/>
          <w:color w:val="000000"/>
          <w:sz w:val="20"/>
          <w:szCs w:val="20"/>
        </w:rPr>
        <w:t>1]</w:t>
      </w:r>
    </w:p>
    <w:p w14:paraId="7702ED3A" w14:textId="77777777" w:rsidR="00AD5F7F" w:rsidRPr="00BD5F30" w:rsidRDefault="00000000" w:rsidP="00BD5F30">
      <w:pPr>
        <w:numPr>
          <w:ilvl w:val="0"/>
          <w:numId w:val="3"/>
        </w:numPr>
        <w:spacing w:after="0" w:line="240" w:lineRule="auto"/>
        <w:rPr>
          <w:rFonts w:ascii="Aptos" w:hAnsi="Aptos"/>
          <w:sz w:val="20"/>
          <w:szCs w:val="20"/>
        </w:rPr>
      </w:pPr>
      <w:r w:rsidRPr="00BD5F30">
        <w:rPr>
          <w:rFonts w:ascii="Aptos" w:eastAsia="source serif 4" w:hAnsi="Aptos" w:cs="source serif 4"/>
          <w:b/>
          <w:color w:val="000000"/>
          <w:sz w:val="20"/>
          <w:szCs w:val="20"/>
        </w:rPr>
        <w:t>Tono de voz</w:t>
      </w:r>
      <w:r w:rsidRPr="00BD5F30">
        <w:rPr>
          <w:rFonts w:ascii="Aptos" w:eastAsia="source serif 4" w:hAnsi="Aptos" w:cs="source serif 4"/>
          <w:color w:val="000000"/>
          <w:sz w:val="20"/>
          <w:szCs w:val="20"/>
        </w:rPr>
        <w:t>: proporcional a la intensidad; emociones más fuertes producen un tono más agudo.[</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4653C9D3" w14:textId="77777777" w:rsidR="00AD5F7F" w:rsidRPr="00BD5F30" w:rsidRDefault="00000000" w:rsidP="00BD5F30">
      <w:pPr>
        <w:numPr>
          <w:ilvl w:val="0"/>
          <w:numId w:val="3"/>
        </w:numPr>
        <w:spacing w:after="0" w:line="240" w:lineRule="auto"/>
        <w:rPr>
          <w:rFonts w:ascii="Aptos" w:hAnsi="Aptos"/>
          <w:sz w:val="20"/>
          <w:szCs w:val="20"/>
        </w:rPr>
      </w:pPr>
      <w:r w:rsidRPr="00BD5F30">
        <w:rPr>
          <w:rFonts w:ascii="Aptos" w:eastAsia="source serif 4" w:hAnsi="Aptos" w:cs="source serif 4"/>
          <w:b/>
          <w:color w:val="000000"/>
          <w:sz w:val="20"/>
          <w:szCs w:val="20"/>
        </w:rPr>
        <w:t>Expansión-retracción</w:t>
      </w:r>
      <w:r w:rsidRPr="00BD5F30">
        <w:rPr>
          <w:rFonts w:ascii="Aptos" w:eastAsia="source serif 4" w:hAnsi="Aptos" w:cs="source serif 4"/>
          <w:color w:val="000000"/>
          <w:sz w:val="20"/>
          <w:szCs w:val="20"/>
        </w:rPr>
        <w:t>: proporcional a la dominancia; sentirnos poderosos nos lleva a ocupar más espacio personal, sentirnos amenazados nos hace contraernos.[</w:t>
      </w:r>
      <w:r w:rsidRPr="00BD5F30">
        <w:rPr>
          <w:rFonts w:ascii="Aptos" w:eastAsia="source serif 4" w:hAnsi="Aptos" w:cs="source serif 4"/>
          <w:color w:val="000000"/>
          <w:sz w:val="20"/>
          <w:szCs w:val="20"/>
          <w:vertAlign w:val="superscript"/>
        </w:rPr>
        <w:t>2][</w:t>
      </w:r>
      <w:r w:rsidRPr="00BD5F30">
        <w:rPr>
          <w:rFonts w:ascii="Aptos" w:eastAsia="source serif 4" w:hAnsi="Aptos" w:cs="source serif 4"/>
          <w:color w:val="000000"/>
          <w:sz w:val="20"/>
          <w:szCs w:val="20"/>
        </w:rPr>
        <w:t>1]</w:t>
      </w:r>
    </w:p>
    <w:p w14:paraId="177271F5" w14:textId="77777777" w:rsidR="00AD5F7F" w:rsidRPr="00BD5F30" w:rsidRDefault="00000000" w:rsidP="00BD5F30">
      <w:pPr>
        <w:numPr>
          <w:ilvl w:val="0"/>
          <w:numId w:val="3"/>
        </w:numPr>
        <w:spacing w:after="0" w:line="240" w:lineRule="auto"/>
        <w:rPr>
          <w:rFonts w:ascii="Aptos" w:hAnsi="Aptos"/>
          <w:sz w:val="20"/>
          <w:szCs w:val="20"/>
        </w:rPr>
      </w:pPr>
      <w:r w:rsidRPr="00BD5F30">
        <w:rPr>
          <w:rFonts w:ascii="Aptos" w:eastAsia="source serif 4" w:hAnsi="Aptos" w:cs="source serif 4"/>
          <w:b/>
          <w:color w:val="000000"/>
          <w:sz w:val="20"/>
          <w:szCs w:val="20"/>
        </w:rPr>
        <w:t>Relajación-tensión muscular</w:t>
      </w:r>
      <w:r w:rsidRPr="00BD5F30">
        <w:rPr>
          <w:rFonts w:ascii="Aptos" w:eastAsia="source serif 4" w:hAnsi="Aptos" w:cs="source serif 4"/>
          <w:color w:val="000000"/>
          <w:sz w:val="20"/>
          <w:szCs w:val="20"/>
        </w:rPr>
        <w:t>: depende sobre todo de la intensidad (a mayor activación, menor relajación</w:t>
      </w:r>
      <w:proofErr w:type="gramStart"/>
      <w:r w:rsidRPr="00BD5F30">
        <w:rPr>
          <w:rFonts w:ascii="Aptos" w:eastAsia="source serif 4" w:hAnsi="Aptos" w:cs="source serif 4"/>
          <w:color w:val="000000"/>
          <w:sz w:val="20"/>
          <w:szCs w:val="20"/>
        </w:rPr>
        <w:t>).[</w:t>
      </w:r>
      <w:proofErr w:type="gramEnd"/>
      <w:r w:rsidRPr="00BD5F30">
        <w:rPr>
          <w:rFonts w:ascii="Aptos" w:eastAsia="source serif 4" w:hAnsi="Aptos" w:cs="source serif 4"/>
          <w:color w:val="000000"/>
          <w:sz w:val="20"/>
          <w:szCs w:val="20"/>
        </w:rPr>
        <w:t>^2]</w:t>
      </w:r>
    </w:p>
    <w:p w14:paraId="1C8A705D" w14:textId="77777777" w:rsidR="00AD5F7F" w:rsidRPr="00BD5F30" w:rsidRDefault="00000000" w:rsidP="00BD5F30">
      <w:pPr>
        <w:numPr>
          <w:ilvl w:val="0"/>
          <w:numId w:val="3"/>
        </w:numPr>
        <w:spacing w:after="0" w:line="240" w:lineRule="auto"/>
        <w:rPr>
          <w:rFonts w:ascii="Aptos" w:hAnsi="Aptos"/>
          <w:sz w:val="20"/>
          <w:szCs w:val="20"/>
        </w:rPr>
      </w:pPr>
      <w:r w:rsidRPr="00BD5F30">
        <w:rPr>
          <w:rFonts w:ascii="Aptos" w:eastAsia="source serif 4" w:hAnsi="Aptos" w:cs="source serif 4"/>
          <w:b/>
          <w:color w:val="000000"/>
          <w:sz w:val="20"/>
          <w:szCs w:val="20"/>
        </w:rPr>
        <w:t>Movimiento fluido vs. espasmódico</w:t>
      </w:r>
      <w:r w:rsidRPr="00BD5F30">
        <w:rPr>
          <w:rFonts w:ascii="Aptos" w:eastAsia="source serif 4" w:hAnsi="Aptos" w:cs="source serif 4"/>
          <w:color w:val="000000"/>
          <w:sz w:val="20"/>
          <w:szCs w:val="20"/>
        </w:rPr>
        <w:t>: el fluido caracteriza activación media/alta con valencia positiva; el espasmódico, derivado de rigidez en cuello, hombros y espalda, refleja activación alta con valencia negativa.[</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060567A5" w14:textId="77777777" w:rsidR="00AD5F7F" w:rsidRPr="00BD5F30" w:rsidRDefault="00000000" w:rsidP="00BD5F30">
      <w:pPr>
        <w:spacing w:after="0" w:line="240" w:lineRule="auto"/>
        <w:ind w:left="-30"/>
        <w:rPr>
          <w:rFonts w:ascii="Aptos" w:hAnsi="Aptos"/>
          <w:sz w:val="20"/>
          <w:szCs w:val="20"/>
        </w:rPr>
      </w:pPr>
      <w:bookmarkStart w:id="8" w:name="axioma_5_simetría_complementaried_2d7dcb"/>
      <w:r w:rsidRPr="00BD5F30">
        <w:rPr>
          <w:rFonts w:ascii="Aptos" w:eastAsia="source serif 4" w:hAnsi="Aptos" w:cs="source serif 4"/>
          <w:b/>
          <w:color w:val="000000"/>
          <w:sz w:val="20"/>
          <w:szCs w:val="20"/>
        </w:rPr>
        <w:t>Axioma 5: Simetría, complementariedad y los ejes del intercambio</w:t>
      </w:r>
      <w:bookmarkEnd w:id="8"/>
    </w:p>
    <w:p w14:paraId="1865DFD6"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Formulación clásica.</w:t>
      </w:r>
      <w:r w:rsidRPr="00BD5F30">
        <w:rPr>
          <w:rFonts w:ascii="Aptos" w:eastAsia="source serif 4" w:hAnsi="Aptos" w:cs="source serif 4"/>
          <w:color w:val="000000"/>
          <w:sz w:val="20"/>
          <w:szCs w:val="20"/>
        </w:rPr>
        <w:t xml:space="preserve"> Todos los intercambios comunicacionales son simétricos (basados en la igualdad, donde una conducta incita una respuesta parecida y por tanto tienden a la competición) o complementarios (basados en la diferencia, donde las conductas "encajan" sin necesariamente exacerbarse porque son de signo contrario). En la simetría los interlocutores comparten estatus y poder; en la complementariedad hay alguien "arriba" (one-up) y otro "abajo" (one-down), y por ende el poder es desigual. Laso Ortiz aclara que esta noción de "poder" no es la de las ciencias sociales (forzar a otros a actuar contra su voluntad), sino la capacidad más acotada de "definir la relación" como igual o diferente. Señala, además, que el quinto axioma es hasta cierto punto deducible de la combinación entre el primero y el tercero: si resonamos emocionalmente todo el tiempo (axioma 1) y la emoción clasifica tácitamente las situaciones (axioma 3), entonces estamos continuamente respondiendo a la pregunta "¿quién soy yo para él/ella y quién es él/ella para mí?".[</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1748E5BE"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b/>
          <w:color w:val="000000"/>
          <w:sz w:val="20"/>
          <w:szCs w:val="20"/>
        </w:rPr>
        <w:t>Actualización: el modelo circumplejo interpersonal.</w:t>
      </w:r>
      <w:r w:rsidRPr="00BD5F30">
        <w:rPr>
          <w:rFonts w:ascii="Aptos" w:eastAsia="source serif 4" w:hAnsi="Aptos" w:cs="source serif 4"/>
          <w:color w:val="000000"/>
          <w:sz w:val="20"/>
          <w:szCs w:val="20"/>
        </w:rPr>
        <w:t xml:space="preserve"> Laso Ortiz sustituye la noción simple de poder por un interjuego dinámico entre dos ejes de necesidades:</w:t>
      </w:r>
    </w:p>
    <w:p w14:paraId="62A26B0F" w14:textId="77777777" w:rsidR="00AD5F7F" w:rsidRPr="00BD5F30" w:rsidRDefault="00000000" w:rsidP="00BD5F30">
      <w:pPr>
        <w:numPr>
          <w:ilvl w:val="0"/>
          <w:numId w:val="4"/>
        </w:numPr>
        <w:spacing w:after="0" w:line="240" w:lineRule="auto"/>
        <w:rPr>
          <w:rFonts w:ascii="Aptos" w:hAnsi="Aptos"/>
          <w:sz w:val="20"/>
          <w:szCs w:val="20"/>
        </w:rPr>
      </w:pPr>
      <w:r w:rsidRPr="00BD5F30">
        <w:rPr>
          <w:rFonts w:ascii="Aptos" w:eastAsia="source serif 4" w:hAnsi="Aptos" w:cs="source serif 4"/>
          <w:b/>
          <w:color w:val="000000"/>
          <w:sz w:val="20"/>
          <w:szCs w:val="20"/>
        </w:rPr>
        <w:t>Agencia</w:t>
      </w:r>
      <w:r w:rsidRPr="00BD5F30">
        <w:rPr>
          <w:rFonts w:ascii="Aptos" w:eastAsia="source serif 4" w:hAnsi="Aptos" w:cs="source serif 4"/>
          <w:color w:val="000000"/>
          <w:sz w:val="20"/>
          <w:szCs w:val="20"/>
        </w:rPr>
        <w:t>: dominancia frente a sumisión (control, capacidad).[</w:t>
      </w:r>
      <w:r w:rsidRPr="00BD5F30">
        <w:rPr>
          <w:rFonts w:ascii="Aptos" w:eastAsia="source serif 4" w:hAnsi="Aptos" w:cs="source serif 4"/>
          <w:color w:val="000000"/>
          <w:sz w:val="20"/>
          <w:szCs w:val="20"/>
          <w:vertAlign w:val="superscript"/>
        </w:rPr>
        <w:t>2][</w:t>
      </w:r>
      <w:r w:rsidRPr="00BD5F30">
        <w:rPr>
          <w:rFonts w:ascii="Aptos" w:eastAsia="source serif 4" w:hAnsi="Aptos" w:cs="source serif 4"/>
          <w:color w:val="000000"/>
          <w:sz w:val="20"/>
          <w:szCs w:val="20"/>
        </w:rPr>
        <w:t>1]</w:t>
      </w:r>
    </w:p>
    <w:p w14:paraId="0BF211C4" w14:textId="77777777" w:rsidR="00AD5F7F" w:rsidRPr="00BD5F30" w:rsidRDefault="00000000" w:rsidP="00BD5F30">
      <w:pPr>
        <w:numPr>
          <w:ilvl w:val="0"/>
          <w:numId w:val="4"/>
        </w:numPr>
        <w:spacing w:after="0" w:line="240" w:lineRule="auto"/>
        <w:rPr>
          <w:rFonts w:ascii="Aptos" w:hAnsi="Aptos"/>
          <w:sz w:val="20"/>
          <w:szCs w:val="20"/>
        </w:rPr>
      </w:pPr>
      <w:r w:rsidRPr="00BD5F30">
        <w:rPr>
          <w:rFonts w:ascii="Aptos" w:eastAsia="source serif 4" w:hAnsi="Aptos" w:cs="source serif 4"/>
          <w:b/>
          <w:color w:val="000000"/>
          <w:sz w:val="20"/>
          <w:szCs w:val="20"/>
        </w:rPr>
        <w:t>Comunión</w:t>
      </w:r>
      <w:r w:rsidRPr="00BD5F30">
        <w:rPr>
          <w:rFonts w:ascii="Aptos" w:eastAsia="source serif 4" w:hAnsi="Aptos" w:cs="source serif 4"/>
          <w:color w:val="000000"/>
          <w:sz w:val="20"/>
          <w:szCs w:val="20"/>
        </w:rPr>
        <w:t>: afecto frente a indiferencia (unión, cercanía).[</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60A05495"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Constantemente negociamos no solo nuestra autoridad sino también nuestra distancia afectiva, cediendo o compitiendo, haciendo o rechazando demandas de afecto, en un equilibrio dinámico que se rompe en las relaciones patológicas. El axioma clásico recoge únicamente el eje de agencia (lo que los terapeutas familiares conocen como "amor complejo" de Linares queda fuera), lo cual es una carencia importante porque la patología se relaciona con el interjuego entre comunión y agencia: "somos primariamente amorosos y secundariamente maltratantes". En las relaciones familiares, el poder tiende a aparecer para compensar un déficit de afecto, porque comunión y agencia son las dos formas posibles de alcanzar seguridad; alguien que se siente desamparado o menospreciado —sin ser consciente de ello, o por temor a mostrarse "débil"— </w:t>
      </w:r>
      <w:r w:rsidRPr="00BD5F30">
        <w:rPr>
          <w:rFonts w:ascii="Aptos" w:eastAsia="source serif 4" w:hAnsi="Aptos" w:cs="source serif 4"/>
          <w:color w:val="000000"/>
          <w:sz w:val="20"/>
          <w:szCs w:val="20"/>
        </w:rPr>
        <w:lastRenderedPageBreak/>
        <w:t>puede apelar a la agresión para forzar a los demás a "respetarlo" y asegurar que no lo abandonarán. El desprecio, la crítica y la indiferencia son, con frecuencia, formas autodestructivas de demandar afecto.[</w:t>
      </w:r>
      <w:r w:rsidRPr="00BD5F30">
        <w:rPr>
          <w:rFonts w:ascii="Aptos" w:eastAsia="source serif 4" w:hAnsi="Aptos" w:cs="source serif 4"/>
          <w:color w:val="000000"/>
          <w:sz w:val="20"/>
          <w:szCs w:val="20"/>
          <w:vertAlign w:val="superscript"/>
        </w:rPr>
        <w:t>2][</w:t>
      </w:r>
      <w:r w:rsidRPr="00BD5F30">
        <w:rPr>
          <w:rFonts w:ascii="Aptos" w:eastAsia="source serif 4" w:hAnsi="Aptos" w:cs="source serif 4"/>
          <w:color w:val="000000"/>
          <w:sz w:val="20"/>
          <w:szCs w:val="20"/>
        </w:rPr>
        <w:t>1]</w:t>
      </w:r>
    </w:p>
    <w:p w14:paraId="01D9C3CE" w14:textId="77777777" w:rsidR="00AD5F7F" w:rsidRPr="00BD5F30" w:rsidRDefault="00000000" w:rsidP="00BD5F30">
      <w:pPr>
        <w:spacing w:after="0" w:line="240" w:lineRule="auto"/>
        <w:ind w:left="-30"/>
        <w:rPr>
          <w:rFonts w:ascii="Aptos" w:hAnsi="Aptos"/>
          <w:sz w:val="20"/>
          <w:szCs w:val="20"/>
        </w:rPr>
      </w:pPr>
      <w:bookmarkStart w:id="9" w:name="patologías_relacionales_escalada_5b92ce"/>
      <w:r w:rsidRPr="00BD5F30">
        <w:rPr>
          <w:rFonts w:ascii="Aptos" w:eastAsia="source serif 4" w:hAnsi="Aptos" w:cs="source serif 4"/>
          <w:b/>
          <w:color w:val="000000"/>
          <w:sz w:val="20"/>
          <w:szCs w:val="20"/>
        </w:rPr>
        <w:t>Patologías relacionales: escalada simétrica y complementariedad rígida</w:t>
      </w:r>
      <w:bookmarkEnd w:id="9"/>
    </w:p>
    <w:p w14:paraId="1A3969FD"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Laso Ortiz precisa que la patología de la simetría es la </w:t>
      </w:r>
      <w:r w:rsidRPr="00BD5F30">
        <w:rPr>
          <w:rFonts w:ascii="Aptos" w:eastAsia="source serif 4" w:hAnsi="Aptos" w:cs="source serif 4"/>
          <w:b/>
          <w:color w:val="000000"/>
          <w:sz w:val="20"/>
          <w:szCs w:val="20"/>
        </w:rPr>
        <w:t>escalada</w:t>
      </w:r>
      <w:r w:rsidRPr="00BD5F30">
        <w:rPr>
          <w:rFonts w:ascii="Aptos" w:eastAsia="source serif 4" w:hAnsi="Aptos" w:cs="source serif 4"/>
          <w:color w:val="000000"/>
          <w:sz w:val="20"/>
          <w:szCs w:val="20"/>
        </w:rPr>
        <w:t xml:space="preserve"> (ninguno de los dos cede) y la de la complementariedad es la </w:t>
      </w:r>
      <w:r w:rsidRPr="00BD5F30">
        <w:rPr>
          <w:rFonts w:ascii="Aptos" w:eastAsia="source serif 4" w:hAnsi="Aptos" w:cs="source serif 4"/>
          <w:b/>
          <w:color w:val="000000"/>
          <w:sz w:val="20"/>
          <w:szCs w:val="20"/>
        </w:rPr>
        <w:t>rigidez</w:t>
      </w:r>
      <w:r w:rsidRPr="00BD5F30">
        <w:rPr>
          <w:rFonts w:ascii="Aptos" w:eastAsia="source serif 4" w:hAnsi="Aptos" w:cs="source serif 4"/>
          <w:color w:val="000000"/>
          <w:sz w:val="20"/>
          <w:szCs w:val="20"/>
        </w:rPr>
        <w:t xml:space="preserve"> (siempre cede el mismo):[</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99"/>
        <w:gridCol w:w="3878"/>
        <w:gridCol w:w="3427"/>
      </w:tblGrid>
      <w:tr w:rsidR="00AD5F7F" w:rsidRPr="00BD5F30" w14:paraId="6EAB07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A3D293"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Patrón</w:t>
            </w:r>
          </w:p>
        </w:tc>
        <w:tc>
          <w:tcPr>
            <w:tcW w:w="0" w:type="auto"/>
            <w:tcBorders>
              <w:top w:val="single" w:sz="1" w:space="0" w:color="000000"/>
              <w:bottom w:val="single" w:sz="1" w:space="0" w:color="000000"/>
              <w:right w:val="single" w:sz="1" w:space="0" w:color="000000"/>
            </w:tcBorders>
          </w:tcPr>
          <w:p w14:paraId="52D21CB4"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Descripción</w:t>
            </w:r>
          </w:p>
        </w:tc>
        <w:tc>
          <w:tcPr>
            <w:tcW w:w="0" w:type="auto"/>
            <w:tcBorders>
              <w:top w:val="single" w:sz="1" w:space="0" w:color="000000"/>
              <w:bottom w:val="single" w:sz="1" w:space="0" w:color="000000"/>
            </w:tcBorders>
          </w:tcPr>
          <w:p w14:paraId="61A41448"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Raíz emocional</w:t>
            </w:r>
          </w:p>
        </w:tc>
      </w:tr>
      <w:tr w:rsidR="00AD5F7F" w:rsidRPr="00BD5F30" w14:paraId="7B84D7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55BC7A"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Escalada simétrica</w:t>
            </w:r>
          </w:p>
        </w:tc>
        <w:tc>
          <w:tcPr>
            <w:tcW w:w="0" w:type="auto"/>
            <w:tcBorders>
              <w:top w:val="single" w:sz="1" w:space="0" w:color="000000"/>
              <w:bottom w:val="single" w:sz="1" w:space="0" w:color="000000"/>
              <w:right w:val="single" w:sz="1" w:space="0" w:color="000000"/>
            </w:tcBorders>
          </w:tcPr>
          <w:p w14:paraId="1E2C58E2"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Una conducta incita una respuesta parecida, generando competencia destructiva y sin límites donde ninguno cede [^1]</w:t>
            </w:r>
          </w:p>
        </w:tc>
        <w:tc>
          <w:tcPr>
            <w:tcW w:w="0" w:type="auto"/>
            <w:tcBorders>
              <w:top w:val="single" w:sz="1" w:space="0" w:color="000000"/>
              <w:bottom w:val="single" w:sz="1" w:space="0" w:color="000000"/>
            </w:tcBorders>
          </w:tcPr>
          <w:p w14:paraId="265A914C"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Responde al eje de agencia; surge de la ira o el miedo cuando se percibe una amenaza o invasión a las necesidades de control e intereses vitales del individuo [</w:t>
            </w:r>
            <w:r w:rsidRPr="00BD5F30">
              <w:rPr>
                <w:rFonts w:ascii="Aptos" w:eastAsia="source serif 4" w:hAnsi="Aptos" w:cs="source serif 4"/>
                <w:color w:val="000000"/>
                <w:sz w:val="20"/>
                <w:szCs w:val="20"/>
                <w:vertAlign w:val="superscript"/>
              </w:rPr>
              <w:t>1][</w:t>
            </w:r>
            <w:r w:rsidRPr="00BD5F30">
              <w:rPr>
                <w:rFonts w:ascii="Aptos" w:eastAsia="source sans 3" w:hAnsi="Aptos" w:cs="source sans 3"/>
                <w:color w:val="000000"/>
                <w:sz w:val="20"/>
                <w:szCs w:val="20"/>
              </w:rPr>
              <w:t>2]</w:t>
            </w:r>
          </w:p>
        </w:tc>
      </w:tr>
      <w:tr w:rsidR="00AD5F7F" w:rsidRPr="00BD5F30" w14:paraId="13F2EE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3D70D1"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Complementariedad rígida</w:t>
            </w:r>
          </w:p>
        </w:tc>
        <w:tc>
          <w:tcPr>
            <w:tcW w:w="0" w:type="auto"/>
            <w:tcBorders>
              <w:top w:val="single" w:sz="1" w:space="0" w:color="000000"/>
              <w:bottom w:val="single" w:sz="1" w:space="0" w:color="000000"/>
              <w:right w:val="single" w:sz="1" w:space="0" w:color="000000"/>
            </w:tcBorders>
          </w:tcPr>
          <w:p w14:paraId="7A1DD05F"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El sistema se petrifica en una desigualdad crónica (one-up constante de un miembro y one-down del otro); quien está abajo es desautorizado y descalificado de manera permanente en su autonomía [^1]</w:t>
            </w:r>
          </w:p>
        </w:tc>
        <w:tc>
          <w:tcPr>
            <w:tcW w:w="0" w:type="auto"/>
            <w:tcBorders>
              <w:top w:val="single" w:sz="1" w:space="0" w:color="000000"/>
              <w:bottom w:val="single" w:sz="1" w:space="0" w:color="000000"/>
            </w:tcBorders>
          </w:tcPr>
          <w:p w14:paraId="64CFD388" w14:textId="77777777" w:rsidR="00AD5F7F" w:rsidRPr="00BD5F30" w:rsidRDefault="00000000" w:rsidP="00BD5F30">
            <w:pPr>
              <w:rPr>
                <w:rFonts w:ascii="Aptos" w:hAnsi="Aptos"/>
                <w:sz w:val="20"/>
                <w:szCs w:val="20"/>
              </w:rPr>
            </w:pPr>
            <w:r w:rsidRPr="00BD5F30">
              <w:rPr>
                <w:rFonts w:ascii="Aptos" w:eastAsia="source sans 3" w:hAnsi="Aptos" w:cs="source sans 3"/>
                <w:color w:val="000000"/>
                <w:sz w:val="20"/>
                <w:szCs w:val="20"/>
              </w:rPr>
              <w:t>Se relaciona con el afecto, la unión y la cercanía ("amor complejo"); el conflicto o el poder surgen habitualmente para compensar déficits emocionales severos [</w:t>
            </w:r>
            <w:r w:rsidRPr="00BD5F30">
              <w:rPr>
                <w:rFonts w:ascii="Aptos" w:eastAsia="source serif 4" w:hAnsi="Aptos" w:cs="source serif 4"/>
                <w:color w:val="000000"/>
                <w:sz w:val="20"/>
                <w:szCs w:val="20"/>
                <w:vertAlign w:val="superscript"/>
              </w:rPr>
              <w:t>1][</w:t>
            </w:r>
            <w:r w:rsidRPr="00BD5F30">
              <w:rPr>
                <w:rFonts w:ascii="Aptos" w:eastAsia="source sans 3" w:hAnsi="Aptos" w:cs="source sans 3"/>
                <w:color w:val="000000"/>
                <w:sz w:val="20"/>
                <w:szCs w:val="20"/>
              </w:rPr>
              <w:t>2]</w:t>
            </w:r>
          </w:p>
        </w:tc>
      </w:tr>
    </w:tbl>
    <w:p w14:paraId="69B5C759" w14:textId="77777777" w:rsidR="00AD5F7F" w:rsidRPr="00BD5F30" w:rsidRDefault="00AD5F7F" w:rsidP="00BD5F30">
      <w:pPr>
        <w:spacing w:after="0" w:line="240" w:lineRule="auto"/>
        <w:rPr>
          <w:rFonts w:ascii="Aptos" w:hAnsi="Aptos"/>
          <w:sz w:val="20"/>
          <w:szCs w:val="20"/>
        </w:rPr>
      </w:pPr>
    </w:p>
    <w:p w14:paraId="7DAD8967"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 xml:space="preserve">El acoplamiento emocional no es necesariamente "bueno": la ternura y el desamparo se acoplan tanto como la agresión y el miedo. Una relación es saludable cuando alcanza un equilibrio dinámico entre interacciones simétricas y complementarias, lo que depende de la satisfacción mutua de necesidades tanto de comunión como de </w:t>
      </w:r>
      <w:proofErr w:type="gramStart"/>
      <w:r w:rsidRPr="00BD5F30">
        <w:rPr>
          <w:rFonts w:ascii="Aptos" w:eastAsia="source serif 4" w:hAnsi="Aptos" w:cs="source serif 4"/>
          <w:color w:val="000000"/>
          <w:sz w:val="20"/>
          <w:szCs w:val="20"/>
        </w:rPr>
        <w:t>agencia.[</w:t>
      </w:r>
      <w:proofErr w:type="gramEnd"/>
      <w:r w:rsidRPr="00BD5F30">
        <w:rPr>
          <w:rFonts w:ascii="Aptos" w:eastAsia="source serif 4" w:hAnsi="Aptos" w:cs="source serif 4"/>
          <w:color w:val="000000"/>
          <w:sz w:val="20"/>
          <w:szCs w:val="20"/>
        </w:rPr>
        <w:t>^2]</w:t>
      </w:r>
    </w:p>
    <w:p w14:paraId="057D4017" w14:textId="77777777" w:rsidR="00AD5F7F" w:rsidRPr="00BD5F30" w:rsidRDefault="00000000" w:rsidP="00BD5F30">
      <w:pPr>
        <w:spacing w:after="0" w:line="240" w:lineRule="auto"/>
        <w:ind w:left="-30"/>
        <w:rPr>
          <w:rFonts w:ascii="Aptos" w:hAnsi="Aptos"/>
          <w:sz w:val="20"/>
          <w:szCs w:val="20"/>
        </w:rPr>
      </w:pPr>
      <w:bookmarkStart w:id="10" w:name="causalidad_circular"/>
      <w:r w:rsidRPr="00BD5F30">
        <w:rPr>
          <w:rFonts w:ascii="Aptos" w:eastAsia="source serif 4" w:hAnsi="Aptos" w:cs="source serif 4"/>
          <w:b/>
          <w:color w:val="000000"/>
          <w:sz w:val="20"/>
          <w:szCs w:val="20"/>
        </w:rPr>
        <w:t>Causalidad circular</w:t>
      </w:r>
      <w:bookmarkEnd w:id="10"/>
    </w:p>
    <w:p w14:paraId="311055A6"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La interacción como sistema opera bajo una causalidad circular de influencia mutua: en los sistemas interhumanos abiertos, cada efecto retroalimenta e influye directamente sobre su propia causa, superando la causalidad lineal tradicional de causa-efecto. Para evitar la amenaza del caos relacional, los seres humanos organizamos temporalmente la secuencia de eventos ("puntuamos"), y el conflicto surge justamente porque cada participante tiende a ver su propio comportamiento solo como una reacción a la conducta del otro, sin advertir su propia contribución al círculo.[</w:t>
      </w:r>
      <w:r w:rsidRPr="00BD5F30">
        <w:rPr>
          <w:rFonts w:ascii="Aptos" w:eastAsia="source serif 4" w:hAnsi="Aptos" w:cs="source serif 4"/>
          <w:color w:val="000000"/>
          <w:sz w:val="20"/>
          <w:szCs w:val="20"/>
          <w:vertAlign w:val="superscript"/>
        </w:rPr>
        <w:t>1][</w:t>
      </w:r>
      <w:r w:rsidRPr="00BD5F30">
        <w:rPr>
          <w:rFonts w:ascii="Aptos" w:eastAsia="source serif 4" w:hAnsi="Aptos" w:cs="source serif 4"/>
          <w:color w:val="000000"/>
          <w:sz w:val="20"/>
          <w:szCs w:val="20"/>
        </w:rPr>
        <w:t>2]</w:t>
      </w:r>
    </w:p>
    <w:p w14:paraId="5AB289FC" w14:textId="77777777" w:rsidR="00AD5F7F" w:rsidRPr="00BD5F30" w:rsidRDefault="00000000" w:rsidP="00BD5F30">
      <w:pPr>
        <w:spacing w:after="0" w:line="240" w:lineRule="auto"/>
        <w:ind w:left="-30"/>
        <w:rPr>
          <w:rFonts w:ascii="Aptos" w:hAnsi="Aptos"/>
          <w:sz w:val="20"/>
          <w:szCs w:val="20"/>
        </w:rPr>
      </w:pPr>
      <w:bookmarkStart w:id="11" w:name="bases_de_la_construcción_de_la_in_5e0977"/>
      <w:r w:rsidRPr="00BD5F30">
        <w:rPr>
          <w:rFonts w:ascii="Aptos" w:eastAsia="source serif 4" w:hAnsi="Aptos" w:cs="source serif 4"/>
          <w:b/>
          <w:color w:val="000000"/>
          <w:sz w:val="20"/>
          <w:szCs w:val="20"/>
        </w:rPr>
        <w:t>Bases de la construcción de la intersubjetividad</w:t>
      </w:r>
      <w:bookmarkEnd w:id="11"/>
    </w:p>
    <w:p w14:paraId="0E6469BB"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Watzlawick identifica tres mecanismos que consolidan los acuerdos tácitos sobre los que se sostiene toda relación:</w:t>
      </w:r>
    </w:p>
    <w:p w14:paraId="3D38F4F7" w14:textId="77777777" w:rsidR="00AD5F7F" w:rsidRPr="00BD5F30" w:rsidRDefault="00000000" w:rsidP="00BD5F30">
      <w:pPr>
        <w:numPr>
          <w:ilvl w:val="0"/>
          <w:numId w:val="5"/>
        </w:numPr>
        <w:spacing w:after="0" w:line="240" w:lineRule="auto"/>
        <w:rPr>
          <w:rFonts w:ascii="Aptos" w:hAnsi="Aptos"/>
          <w:sz w:val="20"/>
          <w:szCs w:val="20"/>
        </w:rPr>
      </w:pPr>
      <w:r w:rsidRPr="00BD5F30">
        <w:rPr>
          <w:rFonts w:ascii="Aptos" w:eastAsia="source serif 4" w:hAnsi="Aptos" w:cs="source serif 4"/>
          <w:b/>
          <w:color w:val="000000"/>
          <w:sz w:val="20"/>
          <w:szCs w:val="20"/>
        </w:rPr>
        <w:t>El efecto limitador</w:t>
      </w:r>
      <w:r w:rsidRPr="00BD5F30">
        <w:rPr>
          <w:rFonts w:ascii="Aptos" w:eastAsia="source serif 4" w:hAnsi="Aptos" w:cs="source serif 4"/>
          <w:color w:val="000000"/>
          <w:sz w:val="20"/>
          <w:szCs w:val="20"/>
        </w:rPr>
        <w:t>: todo comportamiento (incluso el silencio) en presencia de otro reduce las posibilidades relacionales existentes, introduciendo un precedente táctico y sentando una regla de interacción. Ejemplo: si un retraso en una primera cita no es mencionado, se genera la regla tácita de que llegar tarde está permitido en el futuro. Watzlawick muestra este efecto también en el terreno geopolítico: el mero hecho de no protestar ante una situación ya sienta una norma tácita que otorga derechos futuros.[</w:t>
      </w:r>
      <w:r w:rsidRPr="00BD5F30">
        <w:rPr>
          <w:rFonts w:ascii="Aptos" w:eastAsia="source serif 4" w:hAnsi="Aptos" w:cs="source serif 4"/>
          <w:color w:val="000000"/>
          <w:sz w:val="20"/>
          <w:szCs w:val="20"/>
          <w:vertAlign w:val="superscript"/>
        </w:rPr>
        <w:t>3][</w:t>
      </w:r>
      <w:r w:rsidRPr="00BD5F30">
        <w:rPr>
          <w:rFonts w:ascii="Aptos" w:eastAsia="source serif 4" w:hAnsi="Aptos" w:cs="source serif 4"/>
          <w:color w:val="000000"/>
          <w:sz w:val="20"/>
          <w:szCs w:val="20"/>
        </w:rPr>
        <w:t>1]</w:t>
      </w:r>
    </w:p>
    <w:p w14:paraId="4D1A6CE4" w14:textId="77777777" w:rsidR="00AD5F7F" w:rsidRPr="00BD5F30" w:rsidRDefault="00000000" w:rsidP="00BD5F30">
      <w:pPr>
        <w:numPr>
          <w:ilvl w:val="0"/>
          <w:numId w:val="5"/>
        </w:numPr>
        <w:spacing w:after="0" w:line="240" w:lineRule="auto"/>
        <w:rPr>
          <w:rFonts w:ascii="Aptos" w:hAnsi="Aptos"/>
          <w:sz w:val="20"/>
          <w:szCs w:val="20"/>
        </w:rPr>
      </w:pPr>
      <w:r w:rsidRPr="00BD5F30">
        <w:rPr>
          <w:rFonts w:ascii="Aptos" w:eastAsia="source serif 4" w:hAnsi="Aptos" w:cs="source serif 4"/>
          <w:b/>
          <w:color w:val="000000"/>
          <w:sz w:val="20"/>
          <w:szCs w:val="20"/>
        </w:rPr>
        <w:t>Interdependencia cognitiva</w:t>
      </w:r>
      <w:r w:rsidRPr="00BD5F30">
        <w:rPr>
          <w:rFonts w:ascii="Aptos" w:eastAsia="source serif 4" w:hAnsi="Aptos" w:cs="source serif 4"/>
          <w:color w:val="000000"/>
          <w:sz w:val="20"/>
          <w:szCs w:val="20"/>
        </w:rPr>
        <w:t xml:space="preserve">: cuando dos personas deben coordinar una decisión común sin comunicación directa, recurren a una cadena infinita de meta-proyecciones ("lo que yo pienso que él piensa que yo pienso..."). Ejemplo cotidiano: decidir dónde encontrarse sin haberlo acordado </w:t>
      </w:r>
      <w:proofErr w:type="gramStart"/>
      <w:r w:rsidRPr="00BD5F30">
        <w:rPr>
          <w:rFonts w:ascii="Aptos" w:eastAsia="source serif 4" w:hAnsi="Aptos" w:cs="source serif 4"/>
          <w:color w:val="000000"/>
          <w:sz w:val="20"/>
          <w:szCs w:val="20"/>
        </w:rPr>
        <w:t>explícitamente.[</w:t>
      </w:r>
      <w:proofErr w:type="gramEnd"/>
      <w:r w:rsidRPr="00BD5F30">
        <w:rPr>
          <w:rFonts w:ascii="Aptos" w:eastAsia="source serif 4" w:hAnsi="Aptos" w:cs="source serif 4"/>
          <w:color w:val="000000"/>
          <w:sz w:val="20"/>
          <w:szCs w:val="20"/>
        </w:rPr>
        <w:t>^1]</w:t>
      </w:r>
    </w:p>
    <w:p w14:paraId="09D03369" w14:textId="77777777" w:rsidR="00AD5F7F" w:rsidRPr="00BD5F30" w:rsidRDefault="00000000" w:rsidP="00BD5F30">
      <w:pPr>
        <w:numPr>
          <w:ilvl w:val="0"/>
          <w:numId w:val="5"/>
        </w:numPr>
        <w:spacing w:after="0" w:line="240" w:lineRule="auto"/>
        <w:rPr>
          <w:rFonts w:ascii="Aptos" w:hAnsi="Aptos"/>
          <w:sz w:val="20"/>
          <w:szCs w:val="20"/>
        </w:rPr>
      </w:pPr>
      <w:r w:rsidRPr="00BD5F30">
        <w:rPr>
          <w:rFonts w:ascii="Aptos" w:eastAsia="source serif 4" w:hAnsi="Aptos" w:cs="source serif 4"/>
          <w:b/>
          <w:color w:val="000000"/>
          <w:sz w:val="20"/>
          <w:szCs w:val="20"/>
        </w:rPr>
        <w:t>Formación de reglas</w:t>
      </w:r>
      <w:r w:rsidRPr="00BD5F30">
        <w:rPr>
          <w:rFonts w:ascii="Aptos" w:eastAsia="source serif 4" w:hAnsi="Aptos" w:cs="source serif 4"/>
          <w:color w:val="000000"/>
          <w:sz w:val="20"/>
          <w:szCs w:val="20"/>
        </w:rPr>
        <w:t>: la intersubjetividad se consolida mediante acuerdos tácitos estructurados por el comportamiento, que regulan la distancia personal y la dominancia sin requerir un contrato consciente o verbal (por ejemplo, las normas implícitas de un grupo de WhatsApp laboral</w:t>
      </w:r>
      <w:proofErr w:type="gramStart"/>
      <w:r w:rsidRPr="00BD5F30">
        <w:rPr>
          <w:rFonts w:ascii="Aptos" w:eastAsia="source serif 4" w:hAnsi="Aptos" w:cs="source serif 4"/>
          <w:color w:val="000000"/>
          <w:sz w:val="20"/>
          <w:szCs w:val="20"/>
        </w:rPr>
        <w:t>).[</w:t>
      </w:r>
      <w:proofErr w:type="gramEnd"/>
      <w:r w:rsidRPr="00BD5F30">
        <w:rPr>
          <w:rFonts w:ascii="Aptos" w:eastAsia="source serif 4" w:hAnsi="Aptos" w:cs="source serif 4"/>
          <w:color w:val="000000"/>
          <w:sz w:val="20"/>
          <w:szCs w:val="20"/>
        </w:rPr>
        <w:t>^1]</w:t>
      </w:r>
    </w:p>
    <w:p w14:paraId="1350E8B0" w14:textId="77777777" w:rsidR="00AD5F7F" w:rsidRPr="00BD5F30" w:rsidRDefault="00000000" w:rsidP="00BD5F30">
      <w:pPr>
        <w:spacing w:after="0" w:line="240" w:lineRule="auto"/>
        <w:ind w:left="-30"/>
        <w:rPr>
          <w:rFonts w:ascii="Aptos" w:hAnsi="Aptos"/>
          <w:sz w:val="20"/>
          <w:szCs w:val="20"/>
        </w:rPr>
      </w:pPr>
      <w:bookmarkStart w:id="12" w:name="paradojas_de_la_comunicación"/>
      <w:r w:rsidRPr="00BD5F30">
        <w:rPr>
          <w:rFonts w:ascii="Aptos" w:eastAsia="source serif 4" w:hAnsi="Aptos" w:cs="source serif 4"/>
          <w:b/>
          <w:color w:val="000000"/>
          <w:sz w:val="20"/>
          <w:szCs w:val="20"/>
        </w:rPr>
        <w:t>Paradojas de la comunicación</w:t>
      </w:r>
      <w:bookmarkEnd w:id="12"/>
    </w:p>
    <w:p w14:paraId="21FB5B7E"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Watzlawick identifica formas de comunicación patógena basadas en contradicciones lógicas insolubles:</w:t>
      </w:r>
    </w:p>
    <w:p w14:paraId="42F1A30D" w14:textId="77777777" w:rsidR="00AD5F7F" w:rsidRPr="00BD5F30" w:rsidRDefault="00000000" w:rsidP="00BD5F30">
      <w:pPr>
        <w:numPr>
          <w:ilvl w:val="0"/>
          <w:numId w:val="6"/>
        </w:numPr>
        <w:spacing w:after="0" w:line="240" w:lineRule="auto"/>
        <w:rPr>
          <w:rFonts w:ascii="Aptos" w:hAnsi="Aptos"/>
          <w:sz w:val="20"/>
          <w:szCs w:val="20"/>
        </w:rPr>
      </w:pPr>
      <w:r w:rsidRPr="00BD5F30">
        <w:rPr>
          <w:rFonts w:ascii="Aptos" w:eastAsia="source serif 4" w:hAnsi="Aptos" w:cs="source serif 4"/>
          <w:b/>
          <w:color w:val="000000"/>
          <w:sz w:val="20"/>
          <w:szCs w:val="20"/>
        </w:rPr>
        <w:t>Espontaneidad impuesta (paradoja de la exigencia)</w:t>
      </w:r>
      <w:r w:rsidRPr="00BD5F30">
        <w:rPr>
          <w:rFonts w:ascii="Aptos" w:eastAsia="source serif 4" w:hAnsi="Aptos" w:cs="source serif 4"/>
          <w:color w:val="000000"/>
          <w:sz w:val="20"/>
          <w:szCs w:val="20"/>
        </w:rPr>
        <w:t xml:space="preserve">: exigir a alguien un comportamiento intrínsecamente espontáneo lo vuelve imposible desde el momento mismo en que se formula la demanda, dejando solo dos respuestas posibles, ambas inaceptables. Ejemplo: "¡No seas tan </w:t>
      </w:r>
      <w:r w:rsidRPr="00BD5F30">
        <w:rPr>
          <w:rFonts w:ascii="Aptos" w:eastAsia="source serif 4" w:hAnsi="Aptos" w:cs="source serif 4"/>
          <w:color w:val="000000"/>
          <w:sz w:val="20"/>
          <w:szCs w:val="20"/>
        </w:rPr>
        <w:lastRenderedPageBreak/>
        <w:t xml:space="preserve">apagado!" o exigir flores (si el marido las trae, no es espontáneo; si no las trae, no ama), lo que bloquea irremediablemente al </w:t>
      </w:r>
      <w:proofErr w:type="gramStart"/>
      <w:r w:rsidRPr="00BD5F30">
        <w:rPr>
          <w:rFonts w:ascii="Aptos" w:eastAsia="source serif 4" w:hAnsi="Aptos" w:cs="source serif 4"/>
          <w:color w:val="000000"/>
          <w:sz w:val="20"/>
          <w:szCs w:val="20"/>
        </w:rPr>
        <w:t>receptor.[</w:t>
      </w:r>
      <w:proofErr w:type="gramEnd"/>
      <w:r w:rsidRPr="00BD5F30">
        <w:rPr>
          <w:rFonts w:ascii="Aptos" w:eastAsia="source serif 4" w:hAnsi="Aptos" w:cs="source serif 4"/>
          <w:color w:val="000000"/>
          <w:sz w:val="20"/>
          <w:szCs w:val="20"/>
        </w:rPr>
        <w:t>^1]</w:t>
      </w:r>
    </w:p>
    <w:p w14:paraId="4B08FEFE" w14:textId="77777777" w:rsidR="00AD5F7F" w:rsidRPr="00BD5F30" w:rsidRDefault="00000000" w:rsidP="00BD5F30">
      <w:pPr>
        <w:numPr>
          <w:ilvl w:val="0"/>
          <w:numId w:val="6"/>
        </w:numPr>
        <w:spacing w:after="0" w:line="240" w:lineRule="auto"/>
        <w:rPr>
          <w:rFonts w:ascii="Aptos" w:hAnsi="Aptos"/>
          <w:sz w:val="20"/>
          <w:szCs w:val="20"/>
        </w:rPr>
      </w:pPr>
      <w:r w:rsidRPr="00BD5F30">
        <w:rPr>
          <w:rFonts w:ascii="Aptos" w:eastAsia="source serif 4" w:hAnsi="Aptos" w:cs="source serif 4"/>
          <w:b/>
          <w:color w:val="000000"/>
          <w:sz w:val="20"/>
          <w:szCs w:val="20"/>
        </w:rPr>
        <w:t>El doble vínculo (obedecer desobedeciendo)</w:t>
      </w:r>
      <w:r w:rsidRPr="00BD5F30">
        <w:rPr>
          <w:rFonts w:ascii="Aptos" w:eastAsia="source serif 4" w:hAnsi="Aptos" w:cs="source serif 4"/>
          <w:color w:val="000000"/>
          <w:sz w:val="20"/>
          <w:szCs w:val="20"/>
        </w:rPr>
        <w:t>: se produce en relaciones de alta intensidad vital (típicamente padre/hijo) donde se emiten dos mensajes contradictorios en niveles distintos: lo digital ("te amo, sé independiente") y lo analógico —postura, gesto— que expresa rechazo y control rígido, sin que se permita metacomunicar sobre la contradicción ni escapar del vínculo. Laso Ortiz añade la explicación de su origen: la incongruencia entre lo digital y lo analógico se combina con la falta de conciencia del emisor sobre su propio estado emocional de fondo, que igualmente transmite de forma analógica e involuntaria por la vía del contagio emocional.[</w:t>
      </w:r>
      <w:r w:rsidRPr="00BD5F30">
        <w:rPr>
          <w:rFonts w:ascii="Aptos" w:eastAsia="source serif 4" w:hAnsi="Aptos" w:cs="source serif 4"/>
          <w:color w:val="000000"/>
          <w:sz w:val="20"/>
          <w:szCs w:val="20"/>
          <w:vertAlign w:val="superscript"/>
        </w:rPr>
        <w:t>2][</w:t>
      </w:r>
      <w:r w:rsidRPr="00BD5F30">
        <w:rPr>
          <w:rFonts w:ascii="Aptos" w:eastAsia="source serif 4" w:hAnsi="Aptos" w:cs="source serif 4"/>
          <w:color w:val="000000"/>
          <w:sz w:val="20"/>
          <w:szCs w:val="20"/>
        </w:rPr>
        <w:t>1]</w:t>
      </w:r>
    </w:p>
    <w:p w14:paraId="332B24E0" w14:textId="77777777" w:rsidR="00AD5F7F" w:rsidRPr="00BD5F30" w:rsidRDefault="00000000" w:rsidP="00BD5F30">
      <w:pPr>
        <w:numPr>
          <w:ilvl w:val="0"/>
          <w:numId w:val="6"/>
        </w:numPr>
        <w:spacing w:after="0" w:line="240" w:lineRule="auto"/>
        <w:rPr>
          <w:rFonts w:ascii="Aptos" w:hAnsi="Aptos"/>
          <w:sz w:val="20"/>
          <w:szCs w:val="20"/>
        </w:rPr>
      </w:pPr>
      <w:r w:rsidRPr="00BD5F30">
        <w:rPr>
          <w:rFonts w:ascii="Aptos" w:eastAsia="source serif 4" w:hAnsi="Aptos" w:cs="source serif 4"/>
          <w:b/>
          <w:color w:val="000000"/>
          <w:sz w:val="20"/>
          <w:szCs w:val="20"/>
        </w:rPr>
        <w:t>Patologías asociadas</w:t>
      </w:r>
      <w:r w:rsidRPr="00BD5F30">
        <w:rPr>
          <w:rFonts w:ascii="Aptos" w:eastAsia="source serif 4" w:hAnsi="Aptos" w:cs="source serif 4"/>
          <w:color w:val="000000"/>
          <w:sz w:val="20"/>
          <w:szCs w:val="20"/>
        </w:rPr>
        <w:t>: la exposición crónica a estas trampas comunicativas bloquea la acción, el pensamiento y el sentimiento del sujeto. En la esquizofrenia, la desautorización constante de las percepciones del sujeto lo lleva a desconfiar de sus propios sentidos y a buscar significados desviados; en la depresión, se culpabiliza al niño por sentir tristeza o emociones negativas; el desamparo moral surge de normas incompatibles (por ejemplo, honestidad frente a "ganar dinero a toda costa"). Estas paradojas ofrecen una lectura no patologizante e individual de los trastornos mentales, situándolos en su contexto relacional.[</w:t>
      </w:r>
      <w:r w:rsidRPr="00BD5F30">
        <w:rPr>
          <w:rFonts w:ascii="Aptos" w:eastAsia="source serif 4" w:hAnsi="Aptos" w:cs="source serif 4"/>
          <w:color w:val="000000"/>
          <w:sz w:val="20"/>
          <w:szCs w:val="20"/>
          <w:vertAlign w:val="superscript"/>
        </w:rPr>
        <w:t>3][</w:t>
      </w:r>
      <w:r w:rsidRPr="00BD5F30">
        <w:rPr>
          <w:rFonts w:ascii="Aptos" w:eastAsia="source serif 4" w:hAnsi="Aptos" w:cs="source serif 4"/>
          <w:color w:val="000000"/>
          <w:sz w:val="20"/>
          <w:szCs w:val="20"/>
        </w:rPr>
        <w:t>1]</w:t>
      </w:r>
    </w:p>
    <w:p w14:paraId="19326D9C"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Watzlawick refuerza este punto con el análisis de familias con un miembro etiquetado de "enfermo mental": suele existir el mito familiar de que "no hay ningún problema" salvo la enfermedad de ese integrante, cuando en realidad —de forma análoga al experimento de la no contingencia— es el sistema familiar completo el que sostiene una concepción distorsionada de la realidad, y el paciente, a menudo el miembro más sensible y clarividente, enfrenta la tarea casi imposible de poner al desnudo ese mito sin ser rechazado por el grupo.[^3]</w:t>
      </w:r>
    </w:p>
    <w:p w14:paraId="3EA3B10B" w14:textId="77777777" w:rsidR="00AD5F7F" w:rsidRPr="00BD5F30" w:rsidRDefault="00000000" w:rsidP="00BD5F30">
      <w:pPr>
        <w:spacing w:after="0" w:line="240" w:lineRule="auto"/>
        <w:ind w:left="-30"/>
        <w:rPr>
          <w:rFonts w:ascii="Aptos" w:hAnsi="Aptos"/>
          <w:sz w:val="20"/>
          <w:szCs w:val="20"/>
        </w:rPr>
      </w:pPr>
      <w:bookmarkStart w:id="13" w:name="reencuadre_reframing_como_técnica_525a8d"/>
      <w:r w:rsidRPr="00BD5F30">
        <w:rPr>
          <w:rFonts w:ascii="Aptos" w:eastAsia="source serif 4" w:hAnsi="Aptos" w:cs="source serif 4"/>
          <w:b/>
          <w:color w:val="000000"/>
          <w:sz w:val="20"/>
          <w:szCs w:val="20"/>
        </w:rPr>
        <w:t>Reencuadre (reframing) como técnica terapéutica</w:t>
      </w:r>
      <w:bookmarkEnd w:id="13"/>
    </w:p>
    <w:p w14:paraId="28CBD5C1"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La reestructuración consiste en cambiar el marco conceptual, semántico o valorativo (realidad de segundo orden) con que una situación es experimentada, sin alterar los hechos físicos objetivos (realidad de primer orden). Al recategorizar la conducta, se modifica por completo su significado, lo que invalida las interpretaciones previas y desbloquea el síntoma, impidiendo que el sistema continúe aplicando "más de lo mismo" como solución disfuncional. Ejemplo: ante la queja "X es insoportable, pregunta todo el tiempo", el reencuadre ofrece "tenés un alumno motivado y curioso". Esta técnica se fundamenta directamente en el tercer axioma: puesto que la naturaleza de la relación depende de la puntuación (o, en la versión de Laso Ortiz, de las emociones que la configuran), modificar el marco de sentido puede reorganizar por completo el sistema relacional sin necesidad de que cambien los hechos objetivos.[</w:t>
      </w:r>
      <w:r w:rsidRPr="00BD5F30">
        <w:rPr>
          <w:rFonts w:ascii="Aptos" w:eastAsia="source serif 4" w:hAnsi="Aptos" w:cs="source serif 4"/>
          <w:color w:val="000000"/>
          <w:sz w:val="20"/>
          <w:szCs w:val="20"/>
          <w:vertAlign w:val="superscript"/>
        </w:rPr>
        <w:t>3][</w:t>
      </w:r>
      <w:r w:rsidRPr="00BD5F30">
        <w:rPr>
          <w:rFonts w:ascii="Aptos" w:eastAsia="source serif 4" w:hAnsi="Aptos" w:cs="source serif 4"/>
          <w:color w:val="000000"/>
          <w:sz w:val="20"/>
          <w:szCs w:val="20"/>
        </w:rPr>
        <w:t>2</w:t>
      </w:r>
      <w:proofErr w:type="gramStart"/>
      <w:r w:rsidRPr="00BD5F30">
        <w:rPr>
          <w:rFonts w:ascii="Aptos" w:eastAsia="source serif 4" w:hAnsi="Aptos" w:cs="source serif 4"/>
          <w:color w:val="000000"/>
          <w:sz w:val="20"/>
          <w:szCs w:val="20"/>
        </w:rPr>
        <w:t>][</w:t>
      </w:r>
      <w:proofErr w:type="gramEnd"/>
      <w:r w:rsidRPr="00BD5F30">
        <w:rPr>
          <w:rFonts w:ascii="Aptos" w:eastAsia="source serif 4" w:hAnsi="Aptos" w:cs="source serif 4"/>
          <w:color w:val="000000"/>
          <w:sz w:val="20"/>
          <w:szCs w:val="20"/>
        </w:rPr>
        <w:t>^1]</w:t>
      </w:r>
    </w:p>
    <w:p w14:paraId="2ED41007" w14:textId="77777777" w:rsidR="00AD5F7F" w:rsidRPr="00BD5F30" w:rsidRDefault="00000000" w:rsidP="00BD5F30">
      <w:pPr>
        <w:spacing w:after="0" w:line="240" w:lineRule="auto"/>
        <w:ind w:left="-30"/>
        <w:rPr>
          <w:rFonts w:ascii="Aptos" w:hAnsi="Aptos"/>
          <w:sz w:val="20"/>
          <w:szCs w:val="20"/>
        </w:rPr>
      </w:pPr>
      <w:bookmarkStart w:id="14" w:name="síntesis_para_el_examen"/>
      <w:r w:rsidRPr="00BD5F30">
        <w:rPr>
          <w:rFonts w:ascii="Aptos" w:eastAsia="source serif 4" w:hAnsi="Aptos" w:cs="source serif 4"/>
          <w:b/>
          <w:color w:val="000000"/>
          <w:sz w:val="20"/>
          <w:szCs w:val="20"/>
        </w:rPr>
        <w:t>Síntesis para el examen</w:t>
      </w:r>
      <w:bookmarkEnd w:id="14"/>
    </w:p>
    <w:p w14:paraId="187797E4" w14:textId="77777777" w:rsidR="00AD5F7F" w:rsidRPr="00BD5F30" w:rsidRDefault="00000000" w:rsidP="00BD5F30">
      <w:pPr>
        <w:spacing w:after="0" w:line="240" w:lineRule="auto"/>
        <w:rPr>
          <w:rFonts w:ascii="Aptos" w:hAnsi="Aptos"/>
          <w:sz w:val="20"/>
          <w:szCs w:val="20"/>
        </w:rPr>
      </w:pPr>
      <w:r w:rsidRPr="00BD5F30">
        <w:rPr>
          <w:rFonts w:ascii="Aptos" w:eastAsia="source serif 4" w:hAnsi="Aptos" w:cs="source serif 4"/>
          <w:color w:val="000000"/>
          <w:sz w:val="20"/>
          <w:szCs w:val="20"/>
        </w:rPr>
        <w:t>El hilo conductor de todo el material es la doble lectura —cognitiva y emocional— que atraviesa cada axioma de Watzlawick, Beavin y Jackson: cada uno tiene una formulación clásica centrada en la "ecología de las ideas" y una actualización de Laso Ortiz que revela su raíz en la "ecología de las emociones" (neuronas espejo y contagio emocional en el axioma 1; las cuatro emociones básicas como sistema clasificador en el axioma 2; la conexión emocional directa como motor de la puntuación en el axioma 3; el modelo PAD y sus correlatos somáticos en el axioma 4; y el modelo circumplejo de agencia/comunión en el axioma 5). Todo esto se sostiene sobre la distinción watzlawickiana entre realidad de primer orden (hechos verificables) y realidad de segundo orden (significados intersubjetivos y arbitrarios), reforzada experimentalmente por los estudios sobre no contingencia (el caballo neurótico, la rata supersticiosa, el experimento de Bavelas, la máquina tragaperras), que demuestran cómo los seres humanos fabricamos y defendemos tenazmente órdenes ilusorios ante la incertidumbre. Las patologías relacionales (paradojas, doble vínculo, escalada simétrica, complementariedad rígida) emergen precisamente cuando estos niveles —cognitivo, emocional y comunicacional— se vuelven incongruentes, rígidos o inescapables, y la técnica del reencuadre constituye la intervención terapéutica lógica que se deriva de esta teoría.</w:t>
      </w:r>
    </w:p>
    <w:p w14:paraId="3F0AB3E9" w14:textId="77777777" w:rsidR="00AD5F7F" w:rsidRPr="00BD5F30" w:rsidRDefault="00000000" w:rsidP="00BD5F30">
      <w:pPr>
        <w:spacing w:after="0" w:line="240" w:lineRule="auto"/>
        <w:rPr>
          <w:rFonts w:ascii="Aptos" w:hAnsi="Aptos"/>
          <w:sz w:val="20"/>
          <w:szCs w:val="20"/>
        </w:rPr>
      </w:pPr>
      <w:r>
        <w:rPr>
          <w:rFonts w:ascii="Aptos" w:hAnsi="Aptos"/>
          <w:noProof/>
          <w:sz w:val="20"/>
          <w:szCs w:val="20"/>
        </w:rPr>
      </w:r>
      <w:r>
        <w:rPr>
          <w:rFonts w:ascii="Aptos" w:hAnsi="Aptos"/>
          <w:noProof/>
          <w:sz w:val="20"/>
          <w:szCs w:val="20"/>
        </w:rPr>
        <w:pict w14:anchorId="5A1E75BE">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8A4C052" w14:textId="77777777" w:rsidR="00AD5F7F" w:rsidRPr="00BD5F30" w:rsidRDefault="00000000" w:rsidP="00BD5F30">
      <w:pPr>
        <w:spacing w:after="0" w:line="240" w:lineRule="auto"/>
        <w:ind w:left="-30"/>
        <w:rPr>
          <w:rFonts w:ascii="Aptos" w:hAnsi="Aptos"/>
          <w:sz w:val="20"/>
          <w:szCs w:val="20"/>
        </w:rPr>
      </w:pPr>
      <w:bookmarkStart w:id="15" w:name="references"/>
      <w:r w:rsidRPr="00BD5F30">
        <w:rPr>
          <w:rFonts w:ascii="Aptos" w:eastAsia="source serif 4" w:hAnsi="Aptos" w:cs="source serif 4"/>
          <w:b/>
          <w:color w:val="000000"/>
          <w:sz w:val="20"/>
          <w:szCs w:val="20"/>
        </w:rPr>
        <w:t>References</w:t>
      </w:r>
      <w:bookmarkEnd w:id="15"/>
    </w:p>
    <w:p w14:paraId="0372D8FE" w14:textId="77777777" w:rsidR="00AD5F7F" w:rsidRPr="00BD5F30" w:rsidRDefault="00AD5F7F" w:rsidP="00BD5F30">
      <w:pPr>
        <w:numPr>
          <w:ilvl w:val="0"/>
          <w:numId w:val="7"/>
        </w:numPr>
        <w:spacing w:after="0" w:line="240" w:lineRule="auto"/>
        <w:rPr>
          <w:rFonts w:ascii="Aptos" w:hAnsi="Aptos"/>
          <w:sz w:val="20"/>
          <w:szCs w:val="20"/>
        </w:rPr>
      </w:pPr>
      <w:hyperlink r:id="rId5">
        <w:r w:rsidRPr="00BD5F30">
          <w:rPr>
            <w:rFonts w:ascii="Aptos" w:eastAsia="source sans 3" w:hAnsi="Aptos" w:cs="source sans 3"/>
            <w:sz w:val="20"/>
            <w:szCs w:val="20"/>
            <w:u w:val="single"/>
          </w:rPr>
          <w:t>clase-2-construccion-social-de-la-R.pdf</w:t>
        </w:r>
      </w:hyperlink>
    </w:p>
    <w:p w14:paraId="67FB3B86" w14:textId="77777777" w:rsidR="00AD5F7F" w:rsidRPr="00BD5F30" w:rsidRDefault="00AD5F7F" w:rsidP="00BD5F30">
      <w:pPr>
        <w:numPr>
          <w:ilvl w:val="0"/>
          <w:numId w:val="7"/>
        </w:numPr>
        <w:spacing w:after="0" w:line="240" w:lineRule="auto"/>
        <w:rPr>
          <w:rFonts w:ascii="Aptos" w:hAnsi="Aptos"/>
          <w:sz w:val="20"/>
          <w:szCs w:val="20"/>
        </w:rPr>
      </w:pPr>
      <w:hyperlink r:id="rId6">
        <w:r w:rsidRPr="00BD5F30">
          <w:rPr>
            <w:rFonts w:ascii="Aptos" w:eastAsia="source sans 3" w:hAnsi="Aptos" w:cs="source sans 3"/>
            <w:sz w:val="20"/>
            <w:szCs w:val="20"/>
            <w:u w:val="single"/>
          </w:rPr>
          <w:t>Laso-Ortiz-2015.-Cinco-Axiomas.pdf</w:t>
        </w:r>
      </w:hyperlink>
    </w:p>
    <w:p w14:paraId="2C2766D0" w14:textId="77777777" w:rsidR="00AD5F7F" w:rsidRPr="00BD5F30" w:rsidRDefault="00AD5F7F" w:rsidP="00BD5F30">
      <w:pPr>
        <w:numPr>
          <w:ilvl w:val="0"/>
          <w:numId w:val="7"/>
        </w:numPr>
        <w:spacing w:after="0" w:line="240" w:lineRule="auto"/>
        <w:rPr>
          <w:rFonts w:ascii="Aptos" w:hAnsi="Aptos"/>
          <w:sz w:val="20"/>
          <w:szCs w:val="20"/>
        </w:rPr>
      </w:pPr>
      <w:hyperlink r:id="rId7">
        <w:r w:rsidRPr="00BD5F30">
          <w:rPr>
            <w:rFonts w:ascii="Aptos" w:eastAsia="source sans 3" w:hAnsi="Aptos" w:cs="source sans 3"/>
            <w:sz w:val="20"/>
            <w:szCs w:val="20"/>
            <w:u w:val="single"/>
          </w:rPr>
          <w:t>Watzlawick-1979.-Es-real-la-realidad.pdf</w:t>
        </w:r>
      </w:hyperlink>
      <w:r w:rsidR="00000000" w:rsidRPr="00BD5F30">
        <w:rPr>
          <w:rFonts w:ascii="Aptos" w:eastAsia="source serif 4" w:hAnsi="Aptos" w:cs="source serif 4"/>
          <w:color w:val="000000"/>
          <w:sz w:val="20"/>
          <w:szCs w:val="20"/>
        </w:rPr>
        <w:t xml:space="preserve"> - El trauma del inteligente HansAproximadamente por el mismo tiempo en que se public el informe de Stu...</w:t>
      </w:r>
    </w:p>
    <w:sectPr w:rsidR="00AD5F7F" w:rsidRPr="00BD5F3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353E4"/>
    <w:multiLevelType w:val="hybridMultilevel"/>
    <w:tmpl w:val="450A03B8"/>
    <w:lvl w:ilvl="0" w:tplc="F2FC5BB6">
      <w:start w:val="1"/>
      <w:numFmt w:val="bullet"/>
      <w:lvlText w:val=""/>
      <w:lvlJc w:val="left"/>
      <w:pPr>
        <w:tabs>
          <w:tab w:val="num" w:pos="900"/>
        </w:tabs>
        <w:ind w:left="540" w:hanging="360"/>
      </w:pPr>
      <w:rPr>
        <w:rFonts w:ascii="Symbol" w:hAnsi="Symbol" w:hint="default"/>
      </w:rPr>
    </w:lvl>
    <w:lvl w:ilvl="1" w:tplc="C78AA248">
      <w:numFmt w:val="decimal"/>
      <w:lvlText w:val=""/>
      <w:lvlJc w:val="left"/>
    </w:lvl>
    <w:lvl w:ilvl="2" w:tplc="2FCACC5E">
      <w:numFmt w:val="decimal"/>
      <w:lvlText w:val=""/>
      <w:lvlJc w:val="left"/>
    </w:lvl>
    <w:lvl w:ilvl="3" w:tplc="C9FA32D8">
      <w:numFmt w:val="decimal"/>
      <w:lvlText w:val=""/>
      <w:lvlJc w:val="left"/>
    </w:lvl>
    <w:lvl w:ilvl="4" w:tplc="D0C494D4">
      <w:numFmt w:val="decimal"/>
      <w:lvlText w:val=""/>
      <w:lvlJc w:val="left"/>
    </w:lvl>
    <w:lvl w:ilvl="5" w:tplc="0CAC8B38">
      <w:numFmt w:val="decimal"/>
      <w:lvlText w:val=""/>
      <w:lvlJc w:val="left"/>
    </w:lvl>
    <w:lvl w:ilvl="6" w:tplc="67907328">
      <w:numFmt w:val="decimal"/>
      <w:lvlText w:val=""/>
      <w:lvlJc w:val="left"/>
    </w:lvl>
    <w:lvl w:ilvl="7" w:tplc="5B46FF8A">
      <w:numFmt w:val="decimal"/>
      <w:lvlText w:val=""/>
      <w:lvlJc w:val="left"/>
    </w:lvl>
    <w:lvl w:ilvl="8" w:tplc="026C2C52">
      <w:numFmt w:val="decimal"/>
      <w:lvlText w:val=""/>
      <w:lvlJc w:val="left"/>
    </w:lvl>
  </w:abstractNum>
  <w:abstractNum w:abstractNumId="1" w15:restartNumberingAfterBreak="0">
    <w:nsid w:val="072536AE"/>
    <w:multiLevelType w:val="hybridMultilevel"/>
    <w:tmpl w:val="ECAC008A"/>
    <w:lvl w:ilvl="0" w:tplc="05EEB670">
      <w:start w:val="1"/>
      <w:numFmt w:val="decimal"/>
      <w:lvlText w:val="%1."/>
      <w:lvlJc w:val="left"/>
      <w:pPr>
        <w:tabs>
          <w:tab w:val="num" w:pos="900"/>
        </w:tabs>
        <w:ind w:left="540" w:hanging="360"/>
      </w:pPr>
    </w:lvl>
    <w:lvl w:ilvl="1" w:tplc="590A2AC4">
      <w:numFmt w:val="decimal"/>
      <w:lvlText w:val=""/>
      <w:lvlJc w:val="left"/>
    </w:lvl>
    <w:lvl w:ilvl="2" w:tplc="15FCB72E">
      <w:numFmt w:val="decimal"/>
      <w:lvlText w:val=""/>
      <w:lvlJc w:val="left"/>
    </w:lvl>
    <w:lvl w:ilvl="3" w:tplc="171E52AC">
      <w:numFmt w:val="decimal"/>
      <w:lvlText w:val=""/>
      <w:lvlJc w:val="left"/>
    </w:lvl>
    <w:lvl w:ilvl="4" w:tplc="2982E28A">
      <w:numFmt w:val="decimal"/>
      <w:lvlText w:val=""/>
      <w:lvlJc w:val="left"/>
    </w:lvl>
    <w:lvl w:ilvl="5" w:tplc="5BE24390">
      <w:numFmt w:val="decimal"/>
      <w:lvlText w:val=""/>
      <w:lvlJc w:val="left"/>
    </w:lvl>
    <w:lvl w:ilvl="6" w:tplc="6E7AD8A8">
      <w:numFmt w:val="decimal"/>
      <w:lvlText w:val=""/>
      <w:lvlJc w:val="left"/>
    </w:lvl>
    <w:lvl w:ilvl="7" w:tplc="3C308C7E">
      <w:numFmt w:val="decimal"/>
      <w:lvlText w:val=""/>
      <w:lvlJc w:val="left"/>
    </w:lvl>
    <w:lvl w:ilvl="8" w:tplc="62E0A910">
      <w:numFmt w:val="decimal"/>
      <w:lvlText w:val=""/>
      <w:lvlJc w:val="left"/>
    </w:lvl>
  </w:abstractNum>
  <w:abstractNum w:abstractNumId="2" w15:restartNumberingAfterBreak="0">
    <w:nsid w:val="094B2CDE"/>
    <w:multiLevelType w:val="hybridMultilevel"/>
    <w:tmpl w:val="10562FE8"/>
    <w:lvl w:ilvl="0" w:tplc="372E3144">
      <w:start w:val="1"/>
      <w:numFmt w:val="bullet"/>
      <w:lvlText w:val=""/>
      <w:lvlJc w:val="left"/>
      <w:pPr>
        <w:tabs>
          <w:tab w:val="num" w:pos="900"/>
        </w:tabs>
        <w:ind w:left="540" w:hanging="360"/>
      </w:pPr>
      <w:rPr>
        <w:rFonts w:ascii="Symbol" w:hAnsi="Symbol" w:hint="default"/>
      </w:rPr>
    </w:lvl>
    <w:lvl w:ilvl="1" w:tplc="7A684466">
      <w:numFmt w:val="decimal"/>
      <w:lvlText w:val=""/>
      <w:lvlJc w:val="left"/>
    </w:lvl>
    <w:lvl w:ilvl="2" w:tplc="67128682">
      <w:numFmt w:val="decimal"/>
      <w:lvlText w:val=""/>
      <w:lvlJc w:val="left"/>
    </w:lvl>
    <w:lvl w:ilvl="3" w:tplc="974CE990">
      <w:numFmt w:val="decimal"/>
      <w:lvlText w:val=""/>
      <w:lvlJc w:val="left"/>
    </w:lvl>
    <w:lvl w:ilvl="4" w:tplc="CBC03D2A">
      <w:numFmt w:val="decimal"/>
      <w:lvlText w:val=""/>
      <w:lvlJc w:val="left"/>
    </w:lvl>
    <w:lvl w:ilvl="5" w:tplc="020CE5C2">
      <w:numFmt w:val="decimal"/>
      <w:lvlText w:val=""/>
      <w:lvlJc w:val="left"/>
    </w:lvl>
    <w:lvl w:ilvl="6" w:tplc="D880323C">
      <w:numFmt w:val="decimal"/>
      <w:lvlText w:val=""/>
      <w:lvlJc w:val="left"/>
    </w:lvl>
    <w:lvl w:ilvl="7" w:tplc="98768936">
      <w:numFmt w:val="decimal"/>
      <w:lvlText w:val=""/>
      <w:lvlJc w:val="left"/>
    </w:lvl>
    <w:lvl w:ilvl="8" w:tplc="7B94832A">
      <w:numFmt w:val="decimal"/>
      <w:lvlText w:val=""/>
      <w:lvlJc w:val="left"/>
    </w:lvl>
  </w:abstractNum>
  <w:abstractNum w:abstractNumId="3" w15:restartNumberingAfterBreak="0">
    <w:nsid w:val="27EF3B8D"/>
    <w:multiLevelType w:val="hybridMultilevel"/>
    <w:tmpl w:val="80DE675C"/>
    <w:lvl w:ilvl="0" w:tplc="A072DDA8">
      <w:start w:val="1"/>
      <w:numFmt w:val="bullet"/>
      <w:lvlText w:val=""/>
      <w:lvlJc w:val="left"/>
      <w:pPr>
        <w:tabs>
          <w:tab w:val="num" w:pos="900"/>
        </w:tabs>
        <w:ind w:left="540" w:hanging="360"/>
      </w:pPr>
      <w:rPr>
        <w:rFonts w:ascii="Symbol" w:hAnsi="Symbol" w:hint="default"/>
      </w:rPr>
    </w:lvl>
    <w:lvl w:ilvl="1" w:tplc="0A26A352">
      <w:numFmt w:val="decimal"/>
      <w:lvlText w:val=""/>
      <w:lvlJc w:val="left"/>
    </w:lvl>
    <w:lvl w:ilvl="2" w:tplc="102CACC8">
      <w:numFmt w:val="decimal"/>
      <w:lvlText w:val=""/>
      <w:lvlJc w:val="left"/>
    </w:lvl>
    <w:lvl w:ilvl="3" w:tplc="1C82005E">
      <w:numFmt w:val="decimal"/>
      <w:lvlText w:val=""/>
      <w:lvlJc w:val="left"/>
    </w:lvl>
    <w:lvl w:ilvl="4" w:tplc="95BA664E">
      <w:numFmt w:val="decimal"/>
      <w:lvlText w:val=""/>
      <w:lvlJc w:val="left"/>
    </w:lvl>
    <w:lvl w:ilvl="5" w:tplc="3BCEDDB2">
      <w:numFmt w:val="decimal"/>
      <w:lvlText w:val=""/>
      <w:lvlJc w:val="left"/>
    </w:lvl>
    <w:lvl w:ilvl="6" w:tplc="B220EF3E">
      <w:numFmt w:val="decimal"/>
      <w:lvlText w:val=""/>
      <w:lvlJc w:val="left"/>
    </w:lvl>
    <w:lvl w:ilvl="7" w:tplc="B7781198">
      <w:numFmt w:val="decimal"/>
      <w:lvlText w:val=""/>
      <w:lvlJc w:val="left"/>
    </w:lvl>
    <w:lvl w:ilvl="8" w:tplc="63BED380">
      <w:numFmt w:val="decimal"/>
      <w:lvlText w:val=""/>
      <w:lvlJc w:val="left"/>
    </w:lvl>
  </w:abstractNum>
  <w:abstractNum w:abstractNumId="4" w15:restartNumberingAfterBreak="0">
    <w:nsid w:val="46543741"/>
    <w:multiLevelType w:val="hybridMultilevel"/>
    <w:tmpl w:val="D938E6B8"/>
    <w:lvl w:ilvl="0" w:tplc="E4C261D0">
      <w:start w:val="1"/>
      <w:numFmt w:val="bullet"/>
      <w:lvlText w:val=""/>
      <w:lvlJc w:val="left"/>
      <w:pPr>
        <w:tabs>
          <w:tab w:val="num" w:pos="900"/>
        </w:tabs>
        <w:ind w:left="540" w:hanging="360"/>
      </w:pPr>
      <w:rPr>
        <w:rFonts w:ascii="Symbol" w:hAnsi="Symbol" w:hint="default"/>
      </w:rPr>
    </w:lvl>
    <w:lvl w:ilvl="1" w:tplc="C7FC9DDE">
      <w:numFmt w:val="decimal"/>
      <w:lvlText w:val=""/>
      <w:lvlJc w:val="left"/>
    </w:lvl>
    <w:lvl w:ilvl="2" w:tplc="FBEC2F9E">
      <w:numFmt w:val="decimal"/>
      <w:lvlText w:val=""/>
      <w:lvlJc w:val="left"/>
    </w:lvl>
    <w:lvl w:ilvl="3" w:tplc="15A23360">
      <w:numFmt w:val="decimal"/>
      <w:lvlText w:val=""/>
      <w:lvlJc w:val="left"/>
    </w:lvl>
    <w:lvl w:ilvl="4" w:tplc="6FBAA354">
      <w:numFmt w:val="decimal"/>
      <w:lvlText w:val=""/>
      <w:lvlJc w:val="left"/>
    </w:lvl>
    <w:lvl w:ilvl="5" w:tplc="56B6D4BC">
      <w:numFmt w:val="decimal"/>
      <w:lvlText w:val=""/>
      <w:lvlJc w:val="left"/>
    </w:lvl>
    <w:lvl w:ilvl="6" w:tplc="F2CADC82">
      <w:numFmt w:val="decimal"/>
      <w:lvlText w:val=""/>
      <w:lvlJc w:val="left"/>
    </w:lvl>
    <w:lvl w:ilvl="7" w:tplc="EDD6B826">
      <w:numFmt w:val="decimal"/>
      <w:lvlText w:val=""/>
      <w:lvlJc w:val="left"/>
    </w:lvl>
    <w:lvl w:ilvl="8" w:tplc="212292AA">
      <w:numFmt w:val="decimal"/>
      <w:lvlText w:val=""/>
      <w:lvlJc w:val="left"/>
    </w:lvl>
  </w:abstractNum>
  <w:abstractNum w:abstractNumId="5" w15:restartNumberingAfterBreak="0">
    <w:nsid w:val="5D9C0572"/>
    <w:multiLevelType w:val="hybridMultilevel"/>
    <w:tmpl w:val="2B5CC9A0"/>
    <w:lvl w:ilvl="0" w:tplc="B14E8A28">
      <w:start w:val="1"/>
      <w:numFmt w:val="bullet"/>
      <w:lvlText w:val=""/>
      <w:lvlJc w:val="left"/>
      <w:pPr>
        <w:tabs>
          <w:tab w:val="num" w:pos="900"/>
        </w:tabs>
        <w:ind w:left="540" w:hanging="360"/>
      </w:pPr>
      <w:rPr>
        <w:rFonts w:ascii="Symbol" w:hAnsi="Symbol" w:hint="default"/>
      </w:rPr>
    </w:lvl>
    <w:lvl w:ilvl="1" w:tplc="AF30699A">
      <w:numFmt w:val="decimal"/>
      <w:lvlText w:val=""/>
      <w:lvlJc w:val="left"/>
    </w:lvl>
    <w:lvl w:ilvl="2" w:tplc="92240128">
      <w:numFmt w:val="decimal"/>
      <w:lvlText w:val=""/>
      <w:lvlJc w:val="left"/>
    </w:lvl>
    <w:lvl w:ilvl="3" w:tplc="C1684A54">
      <w:numFmt w:val="decimal"/>
      <w:lvlText w:val=""/>
      <w:lvlJc w:val="left"/>
    </w:lvl>
    <w:lvl w:ilvl="4" w:tplc="F836C87C">
      <w:numFmt w:val="decimal"/>
      <w:lvlText w:val=""/>
      <w:lvlJc w:val="left"/>
    </w:lvl>
    <w:lvl w:ilvl="5" w:tplc="CA9C6152">
      <w:numFmt w:val="decimal"/>
      <w:lvlText w:val=""/>
      <w:lvlJc w:val="left"/>
    </w:lvl>
    <w:lvl w:ilvl="6" w:tplc="091A8738">
      <w:numFmt w:val="decimal"/>
      <w:lvlText w:val=""/>
      <w:lvlJc w:val="left"/>
    </w:lvl>
    <w:lvl w:ilvl="7" w:tplc="D7F69BC2">
      <w:numFmt w:val="decimal"/>
      <w:lvlText w:val=""/>
      <w:lvlJc w:val="left"/>
    </w:lvl>
    <w:lvl w:ilvl="8" w:tplc="C708FE8E">
      <w:numFmt w:val="decimal"/>
      <w:lvlText w:val=""/>
      <w:lvlJc w:val="left"/>
    </w:lvl>
  </w:abstractNum>
  <w:abstractNum w:abstractNumId="6" w15:restartNumberingAfterBreak="0">
    <w:nsid w:val="713E2ABB"/>
    <w:multiLevelType w:val="hybridMultilevel"/>
    <w:tmpl w:val="044E97F8"/>
    <w:lvl w:ilvl="0" w:tplc="AF302F6E">
      <w:start w:val="1"/>
      <w:numFmt w:val="bullet"/>
      <w:lvlText w:val=""/>
      <w:lvlJc w:val="left"/>
      <w:pPr>
        <w:tabs>
          <w:tab w:val="num" w:pos="900"/>
        </w:tabs>
        <w:ind w:left="540" w:hanging="360"/>
      </w:pPr>
      <w:rPr>
        <w:rFonts w:ascii="Symbol" w:hAnsi="Symbol" w:hint="default"/>
      </w:rPr>
    </w:lvl>
    <w:lvl w:ilvl="1" w:tplc="E48C4B40">
      <w:numFmt w:val="decimal"/>
      <w:lvlText w:val=""/>
      <w:lvlJc w:val="left"/>
    </w:lvl>
    <w:lvl w:ilvl="2" w:tplc="510CBF14">
      <w:numFmt w:val="decimal"/>
      <w:lvlText w:val=""/>
      <w:lvlJc w:val="left"/>
    </w:lvl>
    <w:lvl w:ilvl="3" w:tplc="0362202A">
      <w:numFmt w:val="decimal"/>
      <w:lvlText w:val=""/>
      <w:lvlJc w:val="left"/>
    </w:lvl>
    <w:lvl w:ilvl="4" w:tplc="2B6E882E">
      <w:numFmt w:val="decimal"/>
      <w:lvlText w:val=""/>
      <w:lvlJc w:val="left"/>
    </w:lvl>
    <w:lvl w:ilvl="5" w:tplc="EE943CF4">
      <w:numFmt w:val="decimal"/>
      <w:lvlText w:val=""/>
      <w:lvlJc w:val="left"/>
    </w:lvl>
    <w:lvl w:ilvl="6" w:tplc="C30664B2">
      <w:numFmt w:val="decimal"/>
      <w:lvlText w:val=""/>
      <w:lvlJc w:val="left"/>
    </w:lvl>
    <w:lvl w:ilvl="7" w:tplc="696E2976">
      <w:numFmt w:val="decimal"/>
      <w:lvlText w:val=""/>
      <w:lvlJc w:val="left"/>
    </w:lvl>
    <w:lvl w:ilvl="8" w:tplc="FE18ADAE">
      <w:numFmt w:val="decimal"/>
      <w:lvlText w:val=""/>
      <w:lvlJc w:val="left"/>
    </w:lvl>
  </w:abstractNum>
  <w:num w:numId="1" w16cid:durableId="432635171">
    <w:abstractNumId w:val="2"/>
  </w:num>
  <w:num w:numId="2" w16cid:durableId="1453329166">
    <w:abstractNumId w:val="3"/>
  </w:num>
  <w:num w:numId="3" w16cid:durableId="902761140">
    <w:abstractNumId w:val="6"/>
  </w:num>
  <w:num w:numId="4" w16cid:durableId="970552963">
    <w:abstractNumId w:val="5"/>
  </w:num>
  <w:num w:numId="5" w16cid:durableId="1539659613">
    <w:abstractNumId w:val="4"/>
  </w:num>
  <w:num w:numId="6" w16cid:durableId="55783633">
    <w:abstractNumId w:val="0"/>
  </w:num>
  <w:num w:numId="7" w16cid:durableId="557278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F7F"/>
    <w:rsid w:val="00463E44"/>
    <w:rsid w:val="00AD5F7F"/>
    <w:rsid w:val="00B73F3F"/>
    <w:rsid w:val="00BD5F30"/>
  </w:rsids>
  <m:mathPr>
    <m:mathFont m:val="Cambria Math"/>
    <m:brkBin m:val="before"/>
    <m:brkBinSub m:val="--"/>
    <m:smallFrac m:val="0"/>
    <m:dispDef/>
    <m:lMargin m:val="0"/>
    <m:rMargin m:val="0"/>
    <m:defJc m:val="centerGroup"/>
    <m:wrapIndent m:val="1440"/>
    <m:intLim m:val="subSup"/>
    <m:naryLim m:val="undOvr"/>
  </m:mathPr>
  <w:themeFontLang w:val="es-AR" w:eastAsia="ko-K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BB0076B"/>
  <w15:docId w15:val="{F493A47F-AD51-4317-A86C-D7A15C0C2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EastAsia"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pl-ai-file-upload.s3.amazonaws.com/web/direct-files/attachments/65499402/aada7374-4cf5-4aa6-92c0-162a3b8cb278/Watzlawick-1979.-Es-real-la-realidad.pdf?AWSAccessKeyId=ASIA2F3EMEYEXWE5ORWN&amp;Signature=4%2FtOJQQh0pg%2B3m9MqZEXximJKDU%3D&amp;x-amz-security-token=IQoJb3JpZ2luX2VjEMv%2F%2F%2F%2F%2F%2F%2F%2F%2F%2FwEaCXVzLWVhc3QtMSJGMEQCIAqOPq9hRkPYI0pjfyaH1%2BZWtwzpnAeuQdHGIp5uFGWDAiB64%2BktWg1yrmjccsFcTMkQdJeo%2BsGUjuVHwTr8LSDnHyr8BAiU%2F%2F%2F%2F%2F%2F%2F%2F%2F%2F8BEAEaDDY5OTc1MzMwOTcwNSIMiYahSvztUakHlKDhKtAENEE65ZXoF7HIsEIoxbGyjpQ4tZnp4r1bMdL3qgV1uGyS5hKQ4eNSSqvo%2B%2Fj68fc84mGtJx8BDykNXOCLhlDFewZdy3kXpDhO5CjLSCaHcQsnV4%2B3TsmXQfMi0EZEZFZDf%2FG8mCFaURUlpKQrvwVXXVm%2F1Yb2WhQQiliW6gf%2FmAiXPUALj5j8YD7CzyZwmfLeHLet6kqtgd9y%2FWPPsh7Gfk%2BD8m7azoGX%2BQ6VgfDQb9Y%2FMHpNpz1XesdBLJj9%2FpSuxCz1hlWNovMuFp0ZASXPZONAh0JKtrRQNioNWGzca4uiZ0g2%2BE1yYWkI3KYDSa8eQh7aU%2BZW0hOLuR5p5%2FZFZhVpJIrUnsaolynTXr4A48ZnH6L%2F5vJGzwerXUkrvzk8qhK7Iy8PCzEZqXwG9YBUSpe4ywmWxyll5DUY9lWmh6tLZsm9mfeebtgaIAaavjJhYOlJTxhrwMtnhvUERjZni1773rmCjOYuHk2SK4ZdOU5rVz3N4pLBRICmoLppQUKC5bZjI0EOFzxiVs%2Fx21vTzBDvSD4K7c3%2Fn3RricicjVpk%2BY1VAZadVadWNE%2F9OM0f%2BcqpkycqIUZZAMEBCxqK0SGoodQK35OEh9zQaoImRXkRJB%2B9Xq9XecPCe0l%2BfRoUomygyvy438jMecg%2BarjUKshBHnTrA3SBXTVqj9oNtgtPK%2BVimjSAoW%2Bru3Bd6HQAC3NGiH%2FUZilFrg7clbjBvUWsJJD%2BgxmQK3qeKZGABt%2Ft4nsH5q7KboetFdDwFh7x0WMidbXui1p%2F%2FKW5tDzpmDD%2Flp3UBjqZAQAjZmODQbSORJZqJaidvHV5TXMJfNIVOyBvDEpJQXrVwfPBjRPNsVV4NlQLZZBoKFYLEY806%2F84mD2hIf3vsh2iVPzNj7O2Vz%2BlIBh8t9eHCaDkVF%2FItdOnim27OAcRtdM2Baut7ga6AHPQNbgnSeJ8vRyUFlKxXkwB5BfsonWXh79TDE%2BvscV%2F7Bl%2BjLDvBb5UoItefegg%2BQ%3D%3D&amp;Expires=17872551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pl-ai-file-upload.s3.amazonaws.com/web/direct-files/attachments/65499402/5d6dffd2-3312-47f4-ac35-49810604fd5e/Laso-Ortiz-2015.-Cinco-Axiomas.pdf?AWSAccessKeyId=ASIA2F3EMEYEXWE5ORWN&amp;Signature=ueQlNL7OE%2FZlHf42RrP7K1iB5NU%3D&amp;x-amz-security-token=IQoJb3JpZ2luX2VjEMv%2F%2F%2F%2F%2F%2F%2F%2F%2F%2FwEaCXVzLWVhc3QtMSJGMEQCIAqOPq9hRkPYI0pjfyaH1%2BZWtwzpnAeuQdHGIp5uFGWDAiB64%2BktWg1yrmjccsFcTMkQdJeo%2BsGUjuVHwTr8LSDnHyr8BAiU%2F%2F%2F%2F%2F%2F%2F%2F%2F%2F8BEAEaDDY5OTc1MzMwOTcwNSIMiYahSvztUakHlKDhKtAENEE65ZXoF7HIsEIoxbGyjpQ4tZnp4r1bMdL3qgV1uGyS5hKQ4eNSSqvo%2B%2Fj68fc84mGtJx8BDykNXOCLhlDFewZdy3kXpDhO5CjLSCaHcQsnV4%2B3TsmXQfMi0EZEZFZDf%2FG8mCFaURUlpKQrvwVXXVm%2F1Yb2WhQQiliW6gf%2FmAiXPUALj5j8YD7CzyZwmfLeHLet6kqtgd9y%2FWPPsh7Gfk%2BD8m7azoGX%2BQ6VgfDQb9Y%2FMHpNpz1XesdBLJj9%2FpSuxCz1hlWNovMuFp0ZASXPZONAh0JKtrRQNioNWGzca4uiZ0g2%2BE1yYWkI3KYDSa8eQh7aU%2BZW0hOLuR5p5%2FZFZhVpJIrUnsaolynTXr4A48ZnH6L%2F5vJGzwerXUkrvzk8qhK7Iy8PCzEZqXwG9YBUSpe4ywmWxyll5DUY9lWmh6tLZsm9mfeebtgaIAaavjJhYOlJTxhrwMtnhvUERjZni1773rmCjOYuHk2SK4ZdOU5rVz3N4pLBRICmoLppQUKC5bZjI0EOFzxiVs%2Fx21vTzBDvSD4K7c3%2Fn3RricicjVpk%2BY1VAZadVadWNE%2F9OM0f%2BcqpkycqIUZZAMEBCxqK0SGoodQK35OEh9zQaoImRXkRJB%2B9Xq9XecPCe0l%2BfRoUomygyvy438jMecg%2BarjUKshBHnTrA3SBXTVqj9oNtgtPK%2BVimjSAoW%2Bru3Bd6HQAC3NGiH%2FUZilFrg7clbjBvUWsJJD%2BgxmQK3qeKZGABt%2Ft4nsH5q7KboetFdDwFh7x0WMidbXui1p%2F%2FKW5tDzpmDD%2Flp3UBjqZAQAjZmODQbSORJZqJaidvHV5TXMJfNIVOyBvDEpJQXrVwfPBjRPNsVV4NlQLZZBoKFYLEY806%2F84mD2hIf3vsh2iVPzNj7O2Vz%2BlIBh8t9eHCaDkVF%2FItdOnim27OAcRtdM2Baut7ga6AHPQNbgnSeJ8vRyUFlKxXkwB5BfsonWXh79TDE%2BvscV%2F7Bl%2BjLDvBb5UoItefegg%2BQ%3D%3D&amp;Expires=1787255122" TargetMode="External"/><Relationship Id="rId5" Type="http://schemas.openxmlformats.org/officeDocument/2006/relationships/hyperlink" Target="https://ppl-ai-file-upload.s3.amazonaws.com/web/direct-files/attachments/65499402/3ae8926a-a8f4-4ec1-9374-3c9a02189368/clase-2-construccion-social-de-la-R.pdf?AWSAccessKeyId=ASIA2F3EMEYEXWE5ORWN&amp;Signature=02LxyfDUNp9kFF93JuD5N%2FR8fME%3D&amp;x-amz-security-token=IQoJb3JpZ2luX2VjEMv%2F%2F%2F%2F%2F%2F%2F%2F%2F%2FwEaCXVzLWVhc3QtMSJGMEQCIAqOPq9hRkPYI0pjfyaH1%2BZWtwzpnAeuQdHGIp5uFGWDAiB64%2BktWg1yrmjccsFcTMkQdJeo%2BsGUjuVHwTr8LSDnHyr8BAiU%2F%2F%2F%2F%2F%2F%2F%2F%2F%2F8BEAEaDDY5OTc1MzMwOTcwNSIMiYahSvztUakHlKDhKtAENEE65ZXoF7HIsEIoxbGyjpQ4tZnp4r1bMdL3qgV1uGyS5hKQ4eNSSqvo%2B%2Fj68fc84mGtJx8BDykNXOCLhlDFewZdy3kXpDhO5CjLSCaHcQsnV4%2B3TsmXQfMi0EZEZFZDf%2FG8mCFaURUlpKQrvwVXXVm%2F1Yb2WhQQiliW6gf%2FmAiXPUALj5j8YD7CzyZwmfLeHLet6kqtgd9y%2FWPPsh7Gfk%2BD8m7azoGX%2BQ6VgfDQb9Y%2FMHpNpz1XesdBLJj9%2FpSuxCz1hlWNovMuFp0ZASXPZONAh0JKtrRQNioNWGzca4uiZ0g2%2BE1yYWkI3KYDSa8eQh7aU%2BZW0hOLuR5p5%2FZFZhVpJIrUnsaolynTXr4A48ZnH6L%2F5vJGzwerXUkrvzk8qhK7Iy8PCzEZqXwG9YBUSpe4ywmWxyll5DUY9lWmh6tLZsm9mfeebtgaIAaavjJhYOlJTxhrwMtnhvUERjZni1773rmCjOYuHk2SK4ZdOU5rVz3N4pLBRICmoLppQUKC5bZjI0EOFzxiVs%2Fx21vTzBDvSD4K7c3%2Fn3RricicjVpk%2BY1VAZadVadWNE%2F9OM0f%2BcqpkycqIUZZAMEBCxqK0SGoodQK35OEh9zQaoImRXkRJB%2B9Xq9XecPCe0l%2BfRoUomygyvy438jMecg%2BarjUKshBHnTrA3SBXTVqj9oNtgtPK%2BVimjSAoW%2Bru3Bd6HQAC3NGiH%2FUZilFrg7clbjBvUWsJJD%2BgxmQK3qeKZGABt%2Ft4nsH5q7KboetFdDwFh7x0WMidbXui1p%2F%2FKW5tDzpmDD%2Flp3UBjqZAQAjZmODQbSORJZqJaidvHV5TXMJfNIVOyBvDEpJQXrVwfPBjRPNsVV4NlQLZZBoKFYLEY806%2F84mD2hIf3vsh2iVPzNj7O2Vz%2BlIBh8t9eHCaDkVF%2FItdOnim27OAcRtdM2Baut7ga6AHPQNbgnSeJ8vRyUFlKxXkwB5BfsonWXh79TDE%2BvscV%2F7Bl%2BjLDvBb5UoItefegg%2BQ%3D%3D&amp;Expires=178725512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4989</Words>
  <Characters>27440</Characters>
  <Application>Microsoft Office Word</Application>
  <DocSecurity>0</DocSecurity>
  <Lines>228</Lines>
  <Paragraphs>64</Paragraphs>
  <ScaleCrop>false</ScaleCrop>
  <Company/>
  <LinksUpToDate>false</LinksUpToDate>
  <CharactersWithSpaces>32365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un-young shim</cp:lastModifiedBy>
  <cp:revision>3</cp:revision>
  <dcterms:created xsi:type="dcterms:W3CDTF">2026-08-20T18:53:00Z</dcterms:created>
  <dcterms:modified xsi:type="dcterms:W3CDTF">2026-08-20T19:29:00Z</dcterms:modified>
</cp:coreProperties>
</file>