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B0F97" w14:textId="412E6FB5" w:rsidR="008F4279" w:rsidRPr="008F4279" w:rsidRDefault="008F4279" w:rsidP="00BD4906">
      <w:pPr>
        <w:spacing w:after="0" w:line="240" w:lineRule="auto"/>
        <w:ind w:left="-30"/>
        <w:rPr>
          <w:rFonts w:ascii="Aptos" w:eastAsiaTheme="minorEastAsia" w:hAnsi="Aptos" w:cs="source serif 4"/>
          <w:b/>
          <w:color w:val="000000"/>
          <w:sz w:val="24"/>
          <w:szCs w:val="24"/>
          <w:lang w:eastAsia="ko-KR"/>
        </w:rPr>
      </w:pPr>
      <w:bookmarkStart w:id="0" w:name="presentación_y_objetivos_de_la_materia"/>
      <w:r w:rsidRPr="008F4279">
        <w:rPr>
          <w:rFonts w:ascii="Aptos" w:eastAsiaTheme="minorEastAsia" w:hAnsi="Aptos" w:cs="source serif 4" w:hint="eastAsia"/>
          <w:b/>
          <w:color w:val="000000"/>
          <w:sz w:val="24"/>
          <w:szCs w:val="24"/>
          <w:lang w:eastAsia="ko-KR"/>
        </w:rPr>
        <w:t>Clase 1</w:t>
      </w:r>
    </w:p>
    <w:p w14:paraId="3EC603A1" w14:textId="77777777" w:rsidR="008F4279" w:rsidRDefault="008F4279" w:rsidP="00BD4906">
      <w:pPr>
        <w:spacing w:after="0" w:line="240" w:lineRule="auto"/>
        <w:ind w:left="-30"/>
        <w:rPr>
          <w:rFonts w:ascii="Aptos" w:eastAsiaTheme="minorEastAsia" w:hAnsi="Aptos" w:cs="source serif 4"/>
          <w:b/>
          <w:color w:val="000000"/>
          <w:sz w:val="20"/>
          <w:szCs w:val="20"/>
          <w:lang w:eastAsia="ko-KR"/>
        </w:rPr>
      </w:pPr>
    </w:p>
    <w:p w14:paraId="48897116" w14:textId="29AF225D"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Presentación y objetivos de la materia</w:t>
      </w:r>
      <w:bookmarkEnd w:id="0"/>
    </w:p>
    <w:p w14:paraId="5BC44470"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La materia se propone cuatro objetivos articulados: conocer las teorías clásicas de la Psicología Social (PS) analizando críticamente su desarrollo conceptual; analizar las líneas de investigación actuales examinando con rigor empírico los diseños experimentales, correlacionales y observacionales; identificar los procesos cerebrales, cognitivos y emocionales subyacentes a la conducta de interacción social; y vincular las teorías con problemáticas contemporáneas para promover el rol de la disciplina en la resolución de conflictos y el bienestar social.[^1]</w:t>
      </w:r>
    </w:p>
    <w:p w14:paraId="45807DEA" w14:textId="77777777" w:rsidR="00BD4906" w:rsidRDefault="00BD4906" w:rsidP="00BD4906">
      <w:pPr>
        <w:spacing w:after="0" w:line="240" w:lineRule="auto"/>
        <w:ind w:left="-30"/>
        <w:rPr>
          <w:rFonts w:ascii="Aptos" w:eastAsia="source serif 4" w:hAnsi="Aptos" w:cs="source serif 4"/>
          <w:b/>
          <w:color w:val="000000"/>
          <w:sz w:val="20"/>
          <w:szCs w:val="20"/>
        </w:rPr>
      </w:pPr>
      <w:bookmarkStart w:id="1" w:name="definición_de_psicología_social"/>
    </w:p>
    <w:p w14:paraId="138268AA" w14:textId="24A4132D"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Definición de Psicología Social</w:t>
      </w:r>
      <w:bookmarkEnd w:id="1"/>
    </w:p>
    <w:p w14:paraId="0CF5EB6C"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La Psicología Social es, ante todo, el </w:t>
      </w:r>
      <w:r w:rsidRPr="00BD4906">
        <w:rPr>
          <w:rFonts w:ascii="Aptos" w:eastAsia="source serif 4" w:hAnsi="Aptos" w:cs="source serif 4"/>
          <w:b/>
          <w:color w:val="000000"/>
          <w:sz w:val="20"/>
          <w:szCs w:val="20"/>
        </w:rPr>
        <w:t>estudio científico de la influencia social</w:t>
      </w:r>
      <w:r w:rsidRPr="00BD4906">
        <w:rPr>
          <w:rFonts w:ascii="Aptos" w:eastAsia="source serif 4" w:hAnsi="Aptos" w:cs="source serif 4"/>
          <w:color w:val="000000"/>
          <w:sz w:val="20"/>
          <w:szCs w:val="20"/>
        </w:rPr>
        <w:t xml:space="preserve">. La definición clásica, formulada por Gordon W. Allport (1935, 1954, 1968) y sostenida en manuales de referencia desde entonces, establece que la PS es </w:t>
      </w:r>
      <w:proofErr w:type="gramStart"/>
      <w:r w:rsidRPr="00BD4906">
        <w:rPr>
          <w:rFonts w:ascii="Aptos" w:eastAsia="source serif 4" w:hAnsi="Aptos" w:cs="source serif 4"/>
          <w:color w:val="000000"/>
          <w:sz w:val="20"/>
          <w:szCs w:val="20"/>
        </w:rPr>
        <w:t>el:[</w:t>
      </w:r>
      <w:proofErr w:type="gramEnd"/>
      <w:r w:rsidRPr="00BD4906">
        <w:rPr>
          <w:rFonts w:ascii="Aptos" w:eastAsia="source serif 4" w:hAnsi="Aptos" w:cs="source serif 4"/>
          <w:color w:val="000000"/>
          <w:sz w:val="20"/>
          <w:szCs w:val="20"/>
        </w:rPr>
        <w:t>^1]</w:t>
      </w:r>
    </w:p>
    <w:p w14:paraId="51554169" w14:textId="77777777" w:rsidR="008B3B9F" w:rsidRPr="00BD4906" w:rsidRDefault="00000000" w:rsidP="00BD4906">
      <w:pPr>
        <w:spacing w:after="0" w:line="240" w:lineRule="auto"/>
        <w:ind w:left="630"/>
        <w:rPr>
          <w:rFonts w:ascii="Aptos" w:hAnsi="Aptos"/>
          <w:sz w:val="20"/>
          <w:szCs w:val="20"/>
        </w:rPr>
      </w:pPr>
      <w:r w:rsidRPr="00BD4906">
        <w:rPr>
          <w:rFonts w:ascii="Aptos" w:eastAsia="source serif 4" w:hAnsi="Aptos" w:cs="source serif 4"/>
          <w:color w:val="000000"/>
          <w:sz w:val="20"/>
          <w:szCs w:val="20"/>
        </w:rPr>
        <w:t>"Intento de comprender y explicar cómo el pensamiento, el sentimiento y la conducta de las personas individuales resultan influidos por la presencia real, imaginada o implícita de otras personas."[</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4EBB354E"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Esta definición pone el énfasis en la relación entre la persona individual y su entorno social, con el concepto de </w:t>
      </w:r>
      <w:r w:rsidRPr="00BD4906">
        <w:rPr>
          <w:rFonts w:ascii="Aptos" w:eastAsia="source serif 4" w:hAnsi="Aptos" w:cs="source serif 4"/>
          <w:b/>
          <w:color w:val="000000"/>
          <w:sz w:val="20"/>
          <w:szCs w:val="20"/>
        </w:rPr>
        <w:t>influencia</w:t>
      </w:r>
      <w:r w:rsidRPr="00BD4906">
        <w:rPr>
          <w:rFonts w:ascii="Aptos" w:eastAsia="source serif 4" w:hAnsi="Aptos" w:cs="source serif 4"/>
          <w:color w:val="000000"/>
          <w:sz w:val="20"/>
          <w:szCs w:val="20"/>
        </w:rPr>
        <w:t xml:space="preserve"> como núcleo articulador: los procesos psicológicos individuales (pensamiento, sentimiento, conducta) nunca ocurren en un vacío social, sino que resultan constantemente moldeados por procesos de influencia directos, indirectos o implícitos.[</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7EF8DB35"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Es importante distinguir los tres tipos de "presencia" a los que alude la definición, porque explican por qué la disciplina puede abordar fenómenos tan dispares dentro de un mismo marco:</w:t>
      </w:r>
    </w:p>
    <w:p w14:paraId="2BFE7358" w14:textId="77777777" w:rsidR="008B3B9F" w:rsidRPr="00BD4906" w:rsidRDefault="00000000" w:rsidP="00BD4906">
      <w:pPr>
        <w:numPr>
          <w:ilvl w:val="0"/>
          <w:numId w:val="1"/>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Presencia real o física</w:t>
      </w:r>
      <w:r w:rsidRPr="00BD4906">
        <w:rPr>
          <w:rFonts w:ascii="Aptos" w:eastAsia="source serif 4" w:hAnsi="Aptos" w:cs="source serif 4"/>
          <w:color w:val="000000"/>
          <w:sz w:val="20"/>
          <w:szCs w:val="20"/>
        </w:rPr>
        <w:t>: la influencia de otros físicamente presentes (por ejemplo, en estudios de facilitación social o altruismo).</w:t>
      </w:r>
    </w:p>
    <w:p w14:paraId="5B9BD0CE" w14:textId="77777777" w:rsidR="008B3B9F" w:rsidRPr="00BD4906" w:rsidRDefault="00000000" w:rsidP="00BD4906">
      <w:pPr>
        <w:numPr>
          <w:ilvl w:val="0"/>
          <w:numId w:val="1"/>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Presencia imaginada</w:t>
      </w:r>
      <w:r w:rsidRPr="00BD4906">
        <w:rPr>
          <w:rFonts w:ascii="Aptos" w:eastAsia="source serif 4" w:hAnsi="Aptos" w:cs="source serif 4"/>
          <w:color w:val="000000"/>
          <w:sz w:val="20"/>
          <w:szCs w:val="20"/>
        </w:rPr>
        <w:t>: amplía el campo de la influencia sin necesidad de contacto directo (relevante en cognición social y atribución).</w:t>
      </w:r>
    </w:p>
    <w:p w14:paraId="03A666E0" w14:textId="77777777" w:rsidR="008B3B9F" w:rsidRPr="00BD4906" w:rsidRDefault="00000000" w:rsidP="00BD4906">
      <w:pPr>
        <w:numPr>
          <w:ilvl w:val="0"/>
          <w:numId w:val="1"/>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Presencia implícita</w:t>
      </w:r>
      <w:r w:rsidRPr="00BD4906">
        <w:rPr>
          <w:rFonts w:ascii="Aptos" w:eastAsia="source serif 4" w:hAnsi="Aptos" w:cs="source serif 4"/>
          <w:color w:val="000000"/>
          <w:sz w:val="20"/>
          <w:szCs w:val="20"/>
        </w:rPr>
        <w:t>: los otros aparecen no como individuos sino como representantes de grupos o instituciones (relevante en bases culturales, prejuicio y memoria histórica</w:t>
      </w:r>
      <w:proofErr w:type="gramStart"/>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21C55267"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La disciplina se interesa por explicar científicamente fenómenos como la conformidad, la obediencia, la influencia social, los prejuicios, las actitudes y la </w:t>
      </w:r>
      <w:proofErr w:type="gramStart"/>
      <w:r w:rsidRPr="00BD4906">
        <w:rPr>
          <w:rFonts w:ascii="Aptos" w:eastAsia="source serif 4" w:hAnsi="Aptos" w:cs="source serif 4"/>
          <w:color w:val="000000"/>
          <w:sz w:val="20"/>
          <w:szCs w:val="20"/>
        </w:rPr>
        <w:t>agresión.[</w:t>
      </w:r>
      <w:proofErr w:type="gramEnd"/>
      <w:r w:rsidRPr="00BD4906">
        <w:rPr>
          <w:rFonts w:ascii="Aptos" w:eastAsia="source serif 4" w:hAnsi="Aptos" w:cs="source serif 4"/>
          <w:color w:val="000000"/>
          <w:sz w:val="20"/>
          <w:szCs w:val="20"/>
        </w:rPr>
        <w:t>^1]</w:t>
      </w:r>
    </w:p>
    <w:p w14:paraId="47C1D16B"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2" w:name="origen_histórico_y_amplitud_disciplinar"/>
    </w:p>
    <w:p w14:paraId="29F707A5" w14:textId="6D6B484E"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Origen histórico y amplitud disciplinar</w:t>
      </w:r>
      <w:bookmarkEnd w:id="2"/>
    </w:p>
    <w:p w14:paraId="04ED10B3"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Varios autores (G.W. Allport, Jones, Graumann, Páez y colaboradores) sitúan </w:t>
      </w:r>
      <w:r w:rsidRPr="00BD4906">
        <w:rPr>
          <w:rFonts w:ascii="Aptos" w:eastAsia="source serif 4" w:hAnsi="Aptos" w:cs="source serif 4"/>
          <w:b/>
          <w:color w:val="000000"/>
          <w:sz w:val="20"/>
          <w:szCs w:val="20"/>
        </w:rPr>
        <w:t>1908</w:t>
      </w:r>
      <w:r w:rsidRPr="00BD4906">
        <w:rPr>
          <w:rFonts w:ascii="Aptos" w:eastAsia="source serif 4" w:hAnsi="Aptos" w:cs="source serif 4"/>
          <w:color w:val="000000"/>
          <w:sz w:val="20"/>
          <w:szCs w:val="20"/>
        </w:rPr>
        <w:t xml:space="preserve"> como punto de partida simbólico de la disciplina, año en que aparece por primera vez el título "Psicología social" en dos obras (McDougall y Ross). Sin embargo, la incorporación de contenidos fue progresiva a lo largo del siglo XX: los movimientos colectivos y el estudio de la influencia comienzan hacia 1920; durante los años veinte y principios de los treinta se incorporan las actitudes, los estereotipos, la persuasión, el prejuicio y la cognición social; procesos como las relaciones interpersonales, el altruismo y la identidad se integran de forma más tardía. Esto demuestra que la lista de contenidos de la PS nunca puede considerarse cerrada, ya que responde tanto a la naturaleza misma de cada proceso como a demandas y urgencias sociales </w:t>
      </w:r>
      <w:proofErr w:type="gramStart"/>
      <w:r w:rsidRPr="00BD4906">
        <w:rPr>
          <w:rFonts w:ascii="Aptos" w:eastAsia="source serif 4" w:hAnsi="Aptos" w:cs="source serif 4"/>
          <w:color w:val="000000"/>
          <w:sz w:val="20"/>
          <w:szCs w:val="20"/>
        </w:rPr>
        <w:t>cambiantes.[</w:t>
      </w:r>
      <w:proofErr w:type="gramEnd"/>
      <w:r w:rsidRPr="00BD4906">
        <w:rPr>
          <w:rFonts w:ascii="Aptos" w:eastAsia="source serif 4" w:hAnsi="Aptos" w:cs="source serif 4"/>
          <w:color w:val="000000"/>
          <w:sz w:val="20"/>
          <w:szCs w:val="20"/>
        </w:rPr>
        <w:t>^2]</w:t>
      </w:r>
    </w:p>
    <w:p w14:paraId="1EBA279D"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3" w:name="el_caso_de_los_etnofaulismos_ilus_b1f9ef"/>
    </w:p>
    <w:p w14:paraId="15A648A5" w14:textId="718BE417"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 xml:space="preserve">El caso de los </w:t>
      </w:r>
      <w:proofErr w:type="spellStart"/>
      <w:r w:rsidRPr="00BD4906">
        <w:rPr>
          <w:rFonts w:ascii="Aptos" w:eastAsia="source serif 4" w:hAnsi="Aptos" w:cs="source serif 4"/>
          <w:b/>
          <w:color w:val="000000"/>
          <w:sz w:val="20"/>
          <w:szCs w:val="20"/>
        </w:rPr>
        <w:t>etnofaulismos</w:t>
      </w:r>
      <w:proofErr w:type="spellEnd"/>
      <w:r w:rsidRPr="00BD4906">
        <w:rPr>
          <w:rFonts w:ascii="Aptos" w:eastAsia="source serif 4" w:hAnsi="Aptos" w:cs="source serif 4"/>
          <w:b/>
          <w:color w:val="000000"/>
          <w:sz w:val="20"/>
          <w:szCs w:val="20"/>
        </w:rPr>
        <w:t>: ilustrando la definición de Allport</w:t>
      </w:r>
      <w:bookmarkEnd w:id="3"/>
    </w:p>
    <w:p w14:paraId="273D9C76"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Los estudios de Mullen y colaboradores sobre los </w:t>
      </w:r>
      <w:proofErr w:type="spellStart"/>
      <w:r w:rsidRPr="00BD4906">
        <w:rPr>
          <w:rFonts w:ascii="Aptos" w:eastAsia="source serif 4" w:hAnsi="Aptos" w:cs="source serif 4"/>
          <w:b/>
          <w:color w:val="000000"/>
          <w:sz w:val="20"/>
          <w:szCs w:val="20"/>
        </w:rPr>
        <w:t>etnofaulismos</w:t>
      </w:r>
      <w:proofErr w:type="spellEnd"/>
      <w:r w:rsidRPr="00BD4906">
        <w:rPr>
          <w:rFonts w:ascii="Aptos" w:eastAsia="source serif 4" w:hAnsi="Aptos" w:cs="source serif 4"/>
          <w:color w:val="000000"/>
          <w:sz w:val="20"/>
          <w:szCs w:val="20"/>
        </w:rPr>
        <w:t xml:space="preserve"> constituyen el ejemplo paradigmático que la cátedra utiliza para mostrar cómo opera en la práctica la definición de Allport.[</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01A82F64" w14:textId="77777777" w:rsidR="008B3B9F" w:rsidRPr="00BD4906" w:rsidRDefault="00000000" w:rsidP="00BD4906">
      <w:pPr>
        <w:spacing w:after="0" w:line="240" w:lineRule="auto"/>
        <w:rPr>
          <w:rFonts w:ascii="Aptos" w:hAnsi="Aptos"/>
          <w:sz w:val="20"/>
          <w:szCs w:val="20"/>
        </w:rPr>
      </w:pPr>
      <w:proofErr w:type="spellStart"/>
      <w:r w:rsidRPr="00BD4906">
        <w:rPr>
          <w:rFonts w:ascii="Aptos" w:eastAsia="source serif 4" w:hAnsi="Aptos" w:cs="source serif 4"/>
          <w:b/>
          <w:color w:val="000000"/>
          <w:sz w:val="20"/>
          <w:szCs w:val="20"/>
        </w:rPr>
        <w:t>Etnofaulismo</w:t>
      </w:r>
      <w:proofErr w:type="spellEnd"/>
      <w:r w:rsidRPr="00BD4906">
        <w:rPr>
          <w:rFonts w:ascii="Aptos" w:eastAsia="source serif 4" w:hAnsi="Aptos" w:cs="source serif 4"/>
          <w:color w:val="000000"/>
          <w:sz w:val="20"/>
          <w:szCs w:val="20"/>
        </w:rPr>
        <w:t xml:space="preserve"> es un término introducido por Roback en 1944 para designar las formas (generalmente peyorativas) en que los miembros de un grupo se refieren a los miembros de exogrupos étnicos, especialmente cuando se trata de inmigrantes. Representan simbólicamente cómo una sociedad categoriza cognitivamente a "los otros".[</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044B710D"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4" w:name="variables_centrales_de_análisis"/>
    </w:p>
    <w:p w14:paraId="2C2EBE9C" w14:textId="668E832E"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Variables centrales de análisis</w:t>
      </w:r>
      <w:bookmarkEnd w:id="4"/>
    </w:p>
    <w:p w14:paraId="185331C1" w14:textId="77777777" w:rsidR="008B3B9F" w:rsidRPr="00BD4906" w:rsidRDefault="00000000" w:rsidP="00BD4906">
      <w:pPr>
        <w:numPr>
          <w:ilvl w:val="0"/>
          <w:numId w:val="2"/>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Complejidad</w:t>
      </w:r>
      <w:r w:rsidRPr="00BD4906">
        <w:rPr>
          <w:rFonts w:ascii="Aptos" w:eastAsia="source serif 4" w:hAnsi="Aptos" w:cs="source serif 4"/>
          <w:color w:val="000000"/>
          <w:sz w:val="20"/>
          <w:szCs w:val="20"/>
        </w:rPr>
        <w:t xml:space="preserve">: se calcula según seis tipos exhaustivos y mutuamente excluyentes de </w:t>
      </w:r>
      <w:proofErr w:type="spellStart"/>
      <w:r w:rsidRPr="00BD4906">
        <w:rPr>
          <w:rFonts w:ascii="Aptos" w:eastAsia="source serif 4" w:hAnsi="Aptos" w:cs="source serif 4"/>
          <w:color w:val="000000"/>
          <w:sz w:val="20"/>
          <w:szCs w:val="20"/>
        </w:rPr>
        <w:t>etnofaulismos</w:t>
      </w:r>
      <w:proofErr w:type="spellEnd"/>
      <w:r w:rsidRPr="00BD4906">
        <w:rPr>
          <w:rFonts w:ascii="Aptos" w:eastAsia="source serif 4" w:hAnsi="Aptos" w:cs="source serif 4"/>
          <w:color w:val="000000"/>
          <w:sz w:val="20"/>
          <w:szCs w:val="20"/>
        </w:rPr>
        <w:t xml:space="preserve"> (rasgos físicos, rasgos de personalidad, nombres personales, hábitos de alimentación, nombres de </w:t>
      </w:r>
      <w:r w:rsidRPr="00BD4906">
        <w:rPr>
          <w:rFonts w:ascii="Aptos" w:eastAsia="source serif 4" w:hAnsi="Aptos" w:cs="source serif 4"/>
          <w:color w:val="000000"/>
          <w:sz w:val="20"/>
          <w:szCs w:val="20"/>
        </w:rPr>
        <w:lastRenderedPageBreak/>
        <w:t>grupo y miscelánea). A menor cantidad de tipos identificados, menor complejidad, lo que refleja una imagen mental más simple y homogénea del exogrupo.[</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4AA8783D" w14:textId="77777777" w:rsidR="008B3B9F" w:rsidRPr="00BD4906" w:rsidRDefault="00000000" w:rsidP="00BD4906">
      <w:pPr>
        <w:numPr>
          <w:ilvl w:val="0"/>
          <w:numId w:val="2"/>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Valencia</w:t>
      </w:r>
      <w:r w:rsidRPr="00BD4906">
        <w:rPr>
          <w:rFonts w:ascii="Aptos" w:eastAsia="source serif 4" w:hAnsi="Aptos" w:cs="source serif 4"/>
          <w:color w:val="000000"/>
          <w:sz w:val="20"/>
          <w:szCs w:val="20"/>
        </w:rPr>
        <w:t xml:space="preserve">: grado de evaluación favorable o desfavorable del término estereotípico aplicado. No todos los </w:t>
      </w:r>
      <w:proofErr w:type="spellStart"/>
      <w:r w:rsidRPr="00BD4906">
        <w:rPr>
          <w:rFonts w:ascii="Aptos" w:eastAsia="source serif 4" w:hAnsi="Aptos" w:cs="source serif 4"/>
          <w:color w:val="000000"/>
          <w:sz w:val="20"/>
          <w:szCs w:val="20"/>
        </w:rPr>
        <w:t>etnofaulismos</w:t>
      </w:r>
      <w:proofErr w:type="spellEnd"/>
      <w:r w:rsidRPr="00BD4906">
        <w:rPr>
          <w:rFonts w:ascii="Aptos" w:eastAsia="source serif 4" w:hAnsi="Aptos" w:cs="source serif 4"/>
          <w:color w:val="000000"/>
          <w:sz w:val="20"/>
          <w:szCs w:val="20"/>
        </w:rPr>
        <w:t xml:space="preserve"> son igualmente negativos, por lo que la valencia constituye una variable independiente y </w:t>
      </w:r>
      <w:proofErr w:type="gramStart"/>
      <w:r w:rsidRPr="00BD4906">
        <w:rPr>
          <w:rFonts w:ascii="Aptos" w:eastAsia="source serif 4" w:hAnsi="Aptos" w:cs="source serif 4"/>
          <w:color w:val="000000"/>
          <w:sz w:val="20"/>
          <w:szCs w:val="20"/>
        </w:rPr>
        <w:t>relevante.[</w:t>
      </w:r>
      <w:proofErr w:type="gramEnd"/>
      <w:r w:rsidRPr="00BD4906">
        <w:rPr>
          <w:rFonts w:ascii="Aptos" w:eastAsia="source serif 4" w:hAnsi="Aptos" w:cs="source serif 4"/>
          <w:color w:val="000000"/>
          <w:sz w:val="20"/>
          <w:szCs w:val="20"/>
        </w:rPr>
        <w:t>^2]</w:t>
      </w:r>
    </w:p>
    <w:p w14:paraId="7F489F73"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5" w:name="antecedentes_de_complejidad_y_valencia"/>
    </w:p>
    <w:p w14:paraId="3C19AA6B" w14:textId="5D3CC46E"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Antecedentes de complejidad y valencia</w:t>
      </w:r>
      <w:bookmarkEnd w:id="5"/>
    </w:p>
    <w:p w14:paraId="3FAB9C65"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Tres características de los grupos inmigrantes predicen el grado de complejidad y negatividad de los </w:t>
      </w:r>
      <w:proofErr w:type="spellStart"/>
      <w:r w:rsidRPr="00BD4906">
        <w:rPr>
          <w:rFonts w:ascii="Aptos" w:eastAsia="source serif 4" w:hAnsi="Aptos" w:cs="source serif 4"/>
          <w:color w:val="000000"/>
          <w:sz w:val="20"/>
          <w:szCs w:val="20"/>
        </w:rPr>
        <w:t>etnofaulismos</w:t>
      </w:r>
      <w:proofErr w:type="spellEnd"/>
      <w:r w:rsidRPr="00BD4906">
        <w:rPr>
          <w:rFonts w:ascii="Aptos" w:eastAsia="source serif 4" w:hAnsi="Aptos" w:cs="source serif 4"/>
          <w:color w:val="000000"/>
          <w:sz w:val="20"/>
          <w:szCs w:val="20"/>
        </w:rPr>
        <w:t xml:space="preserve"> que reciben: su </w:t>
      </w:r>
      <w:r w:rsidRPr="00BD4906">
        <w:rPr>
          <w:rFonts w:ascii="Aptos" w:eastAsia="source serif 4" w:hAnsi="Aptos" w:cs="source serif 4"/>
          <w:b/>
          <w:color w:val="000000"/>
          <w:sz w:val="20"/>
          <w:szCs w:val="20"/>
        </w:rPr>
        <w:t>pequeño tamaño</w:t>
      </w:r>
      <w:r w:rsidRPr="00BD4906">
        <w:rPr>
          <w:rFonts w:ascii="Aptos" w:eastAsia="source serif 4" w:hAnsi="Aptos" w:cs="source serif 4"/>
          <w:color w:val="000000"/>
          <w:sz w:val="20"/>
          <w:szCs w:val="20"/>
        </w:rPr>
        <w:t xml:space="preserve">, su </w:t>
      </w:r>
      <w:r w:rsidRPr="00BD4906">
        <w:rPr>
          <w:rFonts w:ascii="Aptos" w:eastAsia="source serif 4" w:hAnsi="Aptos" w:cs="source serif 4"/>
          <w:b/>
          <w:color w:val="000000"/>
          <w:sz w:val="20"/>
          <w:szCs w:val="20"/>
        </w:rPr>
        <w:t>escasa familiaridad</w:t>
      </w:r>
      <w:r w:rsidRPr="00BD4906">
        <w:rPr>
          <w:rFonts w:ascii="Aptos" w:eastAsia="source serif 4" w:hAnsi="Aptos" w:cs="source serif 4"/>
          <w:color w:val="000000"/>
          <w:sz w:val="20"/>
          <w:szCs w:val="20"/>
        </w:rPr>
        <w:t xml:space="preserve"> para la sociedad de acogida y su </w:t>
      </w:r>
      <w:r w:rsidRPr="00BD4906">
        <w:rPr>
          <w:rFonts w:ascii="Aptos" w:eastAsia="source serif 4" w:hAnsi="Aptos" w:cs="source serif 4"/>
          <w:b/>
          <w:color w:val="000000"/>
          <w:sz w:val="20"/>
          <w:szCs w:val="20"/>
        </w:rPr>
        <w:t>carácter de extranjero</w:t>
      </w:r>
      <w:r w:rsidRPr="00BD4906">
        <w:rPr>
          <w:rFonts w:ascii="Aptos" w:eastAsia="source serif 4" w:hAnsi="Aptos" w:cs="source serif 4"/>
          <w:color w:val="000000"/>
          <w:sz w:val="20"/>
          <w:szCs w:val="20"/>
        </w:rPr>
        <w:t xml:space="preserve"> percibido. Por ejemplo, en Estados Unidos —país de raíz anglosajona— un inmigrante inglés recibe </w:t>
      </w:r>
      <w:proofErr w:type="spellStart"/>
      <w:r w:rsidRPr="00BD4906">
        <w:rPr>
          <w:rFonts w:ascii="Aptos" w:eastAsia="source serif 4" w:hAnsi="Aptos" w:cs="source serif 4"/>
          <w:color w:val="000000"/>
          <w:sz w:val="20"/>
          <w:szCs w:val="20"/>
        </w:rPr>
        <w:t>etnofaulismos</w:t>
      </w:r>
      <w:proofErr w:type="spellEnd"/>
      <w:r w:rsidRPr="00BD4906">
        <w:rPr>
          <w:rFonts w:ascii="Aptos" w:eastAsia="source serif 4" w:hAnsi="Aptos" w:cs="source serif 4"/>
          <w:color w:val="000000"/>
          <w:sz w:val="20"/>
          <w:szCs w:val="20"/>
        </w:rPr>
        <w:t xml:space="preserve"> más complejos y positivos que uno griego, porque comparte con la sociedad de acogida un rasgo estructural (la pertenencia al mundo anglosajón</w:t>
      </w:r>
      <w:proofErr w:type="gramStart"/>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21F5A24F"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6" w:name="hallazgos_empíricos_sobre_exclusión"/>
    </w:p>
    <w:p w14:paraId="359B9A25" w14:textId="201A09C6"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Hallazgos empíricos sobre exclusión</w:t>
      </w:r>
      <w:bookmarkEnd w:id="6"/>
    </w:p>
    <w:p w14:paraId="2D7553E9"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Con una muestra de diecinueve grupos de inmigrantes europeos (que representaban entre el 80% y el 90% de la inmigración histórica a Estados Unidos), Mullen y colaboradores demostraron: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66"/>
        <w:gridCol w:w="7638"/>
      </w:tblGrid>
      <w:tr w:rsidR="008B3B9F" w:rsidRPr="00BD4906" w14:paraId="219616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20DCA7"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Forma de exclusión</w:t>
            </w:r>
          </w:p>
        </w:tc>
        <w:tc>
          <w:tcPr>
            <w:tcW w:w="0" w:type="auto"/>
            <w:tcBorders>
              <w:top w:val="single" w:sz="1" w:space="0" w:color="000000"/>
              <w:bottom w:val="single" w:sz="1" w:space="0" w:color="000000"/>
            </w:tcBorders>
          </w:tcPr>
          <w:p w14:paraId="4CBD9F53"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Resultado empírico</w:t>
            </w:r>
          </w:p>
        </w:tc>
      </w:tr>
      <w:tr w:rsidR="008B3B9F" w:rsidRPr="00BD4906" w14:paraId="08F547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F8ACE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Cuotas de inmigración</w:t>
            </w:r>
          </w:p>
        </w:tc>
        <w:tc>
          <w:tcPr>
            <w:tcW w:w="0" w:type="auto"/>
            <w:tcBorders>
              <w:top w:val="single" w:sz="1" w:space="0" w:color="000000"/>
              <w:bottom w:val="single" w:sz="1" w:space="0" w:color="000000"/>
            </w:tcBorders>
          </w:tcPr>
          <w:p w14:paraId="000CDFE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Beta de .45 para complejidad y .31 para valencia (ambas significativas): a menor complejidad y más negatividad, cuotas más </w:t>
            </w:r>
            <w:proofErr w:type="gramStart"/>
            <w:r w:rsidRPr="00BD4906">
              <w:rPr>
                <w:rFonts w:ascii="Aptos" w:eastAsia="source sans 3" w:hAnsi="Aptos" w:cs="source sans 3"/>
                <w:color w:val="000000"/>
                <w:sz w:val="20"/>
                <w:szCs w:val="20"/>
              </w:rPr>
              <w:t>restrictivas[</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7EBDA1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BE28C6"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Tasas de naturalización</w:t>
            </w:r>
          </w:p>
        </w:tc>
        <w:tc>
          <w:tcPr>
            <w:tcW w:w="0" w:type="auto"/>
            <w:tcBorders>
              <w:top w:val="single" w:sz="1" w:space="0" w:color="000000"/>
              <w:bottom w:val="single" w:sz="1" w:space="0" w:color="000000"/>
            </w:tcBorders>
          </w:tcPr>
          <w:p w14:paraId="4E2F1175"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Beta de .35 para complejidad y .20 para valencia (ambas significativas): menor complejidad y mayor negatividad predicen menores tasas de </w:t>
            </w:r>
            <w:proofErr w:type="gramStart"/>
            <w:r w:rsidRPr="00BD4906">
              <w:rPr>
                <w:rFonts w:ascii="Aptos" w:eastAsia="source sans 3" w:hAnsi="Aptos" w:cs="source sans 3"/>
                <w:color w:val="000000"/>
                <w:sz w:val="20"/>
                <w:szCs w:val="20"/>
              </w:rPr>
              <w:t>naturalización[</w:t>
            </w:r>
            <w:proofErr w:type="gramEnd"/>
            <w:r w:rsidRPr="00BD4906">
              <w:rPr>
                <w:rFonts w:ascii="Aptos" w:eastAsia="source sans 3" w:hAnsi="Aptos" w:cs="source sans 3"/>
                <w:color w:val="000000"/>
                <w:sz w:val="20"/>
                <w:szCs w:val="20"/>
              </w:rPr>
              <w:t>^2]</w:t>
            </w:r>
          </w:p>
        </w:tc>
      </w:tr>
      <w:tr w:rsidR="008B3B9F" w:rsidRPr="00BD4906" w14:paraId="5C0A0A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F6F4B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Exclusión indirecta</w:t>
            </w:r>
          </w:p>
        </w:tc>
        <w:tc>
          <w:tcPr>
            <w:tcW w:w="0" w:type="auto"/>
            <w:tcBorders>
              <w:top w:val="single" w:sz="1" w:space="0" w:color="000000"/>
              <w:bottom w:val="single" w:sz="1" w:space="0" w:color="000000"/>
            </w:tcBorders>
          </w:tcPr>
          <w:p w14:paraId="5C163C09"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En materiales educativos infantiles (libro de Ridge, 1929, el de mayor difusión en EE.UU.), los mismos 19 grupos estigmatizados fueron representados de forma sesgada, visual y </w:t>
            </w:r>
            <w:proofErr w:type="gramStart"/>
            <w:r w:rsidRPr="00BD4906">
              <w:rPr>
                <w:rFonts w:ascii="Aptos" w:eastAsia="source sans 3" w:hAnsi="Aptos" w:cs="source sans 3"/>
                <w:color w:val="000000"/>
                <w:sz w:val="20"/>
                <w:szCs w:val="20"/>
              </w:rPr>
              <w:t>verbalmente[</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bl>
    <w:p w14:paraId="0838F394" w14:textId="77777777" w:rsidR="008B3B9F" w:rsidRPr="00BD4906" w:rsidRDefault="008B3B9F" w:rsidP="00BD4906">
      <w:pPr>
        <w:spacing w:after="0" w:line="240" w:lineRule="auto"/>
        <w:rPr>
          <w:rFonts w:ascii="Aptos" w:hAnsi="Aptos"/>
          <w:sz w:val="20"/>
          <w:szCs w:val="20"/>
        </w:rPr>
      </w:pPr>
    </w:p>
    <w:p w14:paraId="0BE52792"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Este estudio ilustra la definición de Allport porque muestra cómo la presencia de otras personas (los grupos inmigrantes), representada simbólicamente mediante los </w:t>
      </w:r>
      <w:proofErr w:type="spellStart"/>
      <w:r w:rsidRPr="00BD4906">
        <w:rPr>
          <w:rFonts w:ascii="Aptos" w:eastAsia="source serif 4" w:hAnsi="Aptos" w:cs="source serif 4"/>
          <w:color w:val="000000"/>
          <w:sz w:val="20"/>
          <w:szCs w:val="20"/>
        </w:rPr>
        <w:t>etnofaulismos</w:t>
      </w:r>
      <w:proofErr w:type="spellEnd"/>
      <w:r w:rsidRPr="00BD4906">
        <w:rPr>
          <w:rFonts w:ascii="Aptos" w:eastAsia="source serif 4" w:hAnsi="Aptos" w:cs="source serif 4"/>
          <w:color w:val="000000"/>
          <w:sz w:val="20"/>
          <w:szCs w:val="20"/>
        </w:rPr>
        <w:t xml:space="preserve">, influye directamente en la conducta de exclusión de los miembros de la sociedad de </w:t>
      </w:r>
      <w:proofErr w:type="gramStart"/>
      <w:r w:rsidRPr="00BD4906">
        <w:rPr>
          <w:rFonts w:ascii="Aptos" w:eastAsia="source serif 4" w:hAnsi="Aptos" w:cs="source serif 4"/>
          <w:color w:val="000000"/>
          <w:sz w:val="20"/>
          <w:szCs w:val="20"/>
        </w:rPr>
        <w:t>acogida.[</w:t>
      </w:r>
      <w:proofErr w:type="gramEnd"/>
      <w:r w:rsidRPr="00BD4906">
        <w:rPr>
          <w:rFonts w:ascii="Aptos" w:eastAsia="source serif 4" w:hAnsi="Aptos" w:cs="source serif 4"/>
          <w:color w:val="000000"/>
          <w:sz w:val="20"/>
          <w:szCs w:val="20"/>
        </w:rPr>
        <w:t>^2]</w:t>
      </w:r>
    </w:p>
    <w:p w14:paraId="7BF7D597"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7" w:name="los_tres_niveles_de_procesos_psic_1adb0a"/>
    </w:p>
    <w:p w14:paraId="712BC55B" w14:textId="67607F12"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Los tres niveles de procesos psicosociales</w:t>
      </w:r>
      <w:bookmarkEnd w:id="7"/>
    </w:p>
    <w:p w14:paraId="373F328A"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La conducta social se articula en tres niveles interrelacionados de procesos, un esquema clasificatorio tradicional en la disciplina (</w:t>
      </w:r>
      <w:proofErr w:type="spellStart"/>
      <w:r w:rsidRPr="00BD4906">
        <w:rPr>
          <w:rFonts w:ascii="Aptos" w:eastAsia="source serif 4" w:hAnsi="Aptos" w:cs="source serif 4"/>
          <w:color w:val="000000"/>
          <w:sz w:val="20"/>
          <w:szCs w:val="20"/>
        </w:rPr>
        <w:t>Tesser</w:t>
      </w:r>
      <w:proofErr w:type="spellEnd"/>
      <w:r w:rsidRPr="00BD4906">
        <w:rPr>
          <w:rFonts w:ascii="Aptos" w:eastAsia="source serif 4" w:hAnsi="Aptos" w:cs="source serif 4"/>
          <w:color w:val="000000"/>
          <w:sz w:val="20"/>
          <w:szCs w:val="20"/>
        </w:rPr>
        <w:t xml:space="preserve">, 1995; </w:t>
      </w:r>
      <w:proofErr w:type="spellStart"/>
      <w:r w:rsidRPr="00BD4906">
        <w:rPr>
          <w:rFonts w:ascii="Aptos" w:eastAsia="source serif 4" w:hAnsi="Aptos" w:cs="source serif 4"/>
          <w:color w:val="000000"/>
          <w:sz w:val="20"/>
          <w:szCs w:val="20"/>
        </w:rPr>
        <w:t>Stangor</w:t>
      </w:r>
      <w:proofErr w:type="spellEnd"/>
      <w:r w:rsidRPr="00BD4906">
        <w:rPr>
          <w:rFonts w:ascii="Aptos" w:eastAsia="source serif 4" w:hAnsi="Aptos" w:cs="source serif 4"/>
          <w:color w:val="000000"/>
          <w:sz w:val="20"/>
          <w:szCs w:val="20"/>
        </w:rPr>
        <w:t xml:space="preserve"> y </w:t>
      </w:r>
      <w:proofErr w:type="spellStart"/>
      <w:r w:rsidRPr="00BD4906">
        <w:rPr>
          <w:rFonts w:ascii="Aptos" w:eastAsia="source serif 4" w:hAnsi="Aptos" w:cs="source serif 4"/>
          <w:color w:val="000000"/>
          <w:sz w:val="20"/>
          <w:szCs w:val="20"/>
        </w:rPr>
        <w:t>Jost</w:t>
      </w:r>
      <w:proofErr w:type="spellEnd"/>
      <w:r w:rsidRPr="00BD4906">
        <w:rPr>
          <w:rFonts w:ascii="Aptos" w:eastAsia="source serif 4" w:hAnsi="Aptos" w:cs="source serif 4"/>
          <w:color w:val="000000"/>
          <w:sz w:val="20"/>
          <w:szCs w:val="20"/>
        </w:rPr>
        <w:t>, 1997):[</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5"/>
        <w:gridCol w:w="3540"/>
        <w:gridCol w:w="4299"/>
      </w:tblGrid>
      <w:tr w:rsidR="008B3B9F" w:rsidRPr="00BD4906" w14:paraId="026194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82A2FD"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Nivel</w:t>
            </w:r>
          </w:p>
        </w:tc>
        <w:tc>
          <w:tcPr>
            <w:tcW w:w="0" w:type="auto"/>
            <w:tcBorders>
              <w:top w:val="single" w:sz="1" w:space="0" w:color="000000"/>
              <w:bottom w:val="single" w:sz="1" w:space="0" w:color="000000"/>
              <w:right w:val="single" w:sz="1" w:space="0" w:color="000000"/>
            </w:tcBorders>
          </w:tcPr>
          <w:p w14:paraId="44B388F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Foco</w:t>
            </w:r>
          </w:p>
        </w:tc>
        <w:tc>
          <w:tcPr>
            <w:tcW w:w="0" w:type="auto"/>
            <w:tcBorders>
              <w:top w:val="single" w:sz="1" w:space="0" w:color="000000"/>
              <w:bottom w:val="single" w:sz="1" w:space="0" w:color="000000"/>
            </w:tcBorders>
          </w:tcPr>
          <w:p w14:paraId="369B643F"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Ejemplos clave</w:t>
            </w:r>
          </w:p>
        </w:tc>
      </w:tr>
      <w:tr w:rsidR="008B3B9F" w:rsidRPr="00BD4906" w14:paraId="1C4ADD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A882E"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Individuales</w:t>
            </w:r>
          </w:p>
        </w:tc>
        <w:tc>
          <w:tcPr>
            <w:tcW w:w="0" w:type="auto"/>
            <w:tcBorders>
              <w:top w:val="single" w:sz="1" w:space="0" w:color="000000"/>
              <w:bottom w:val="single" w:sz="1" w:space="0" w:color="000000"/>
              <w:right w:val="single" w:sz="1" w:space="0" w:color="000000"/>
            </w:tcBorders>
          </w:tcPr>
          <w:p w14:paraId="67674F3C"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El sujeto y su procesamiento de información social</w:t>
            </w:r>
          </w:p>
        </w:tc>
        <w:tc>
          <w:tcPr>
            <w:tcW w:w="0" w:type="auto"/>
            <w:tcBorders>
              <w:top w:val="single" w:sz="1" w:space="0" w:color="000000"/>
              <w:bottom w:val="single" w:sz="1" w:space="0" w:color="000000"/>
            </w:tcBorders>
          </w:tcPr>
          <w:p w14:paraId="0157B1C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Autoestima individual, sesgos de atribución, estereotipia individual, conductas </w:t>
            </w:r>
            <w:proofErr w:type="gramStart"/>
            <w:r w:rsidRPr="00BD4906">
              <w:rPr>
                <w:rFonts w:ascii="Aptos" w:eastAsia="source sans 3" w:hAnsi="Aptos" w:cs="source sans 3"/>
                <w:color w:val="000000"/>
                <w:sz w:val="20"/>
                <w:szCs w:val="20"/>
              </w:rPr>
              <w:t>idiosincrásicas[</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42BF5D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1BA8C7"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Grupales</w:t>
            </w:r>
          </w:p>
        </w:tc>
        <w:tc>
          <w:tcPr>
            <w:tcW w:w="0" w:type="auto"/>
            <w:tcBorders>
              <w:top w:val="single" w:sz="1" w:space="0" w:color="000000"/>
              <w:bottom w:val="single" w:sz="1" w:space="0" w:color="000000"/>
              <w:right w:val="single" w:sz="1" w:space="0" w:color="000000"/>
            </w:tcBorders>
          </w:tcPr>
          <w:p w14:paraId="6326DE2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La persona como miembro de un grupo, con conducta uniformada por normas colectivas</w:t>
            </w:r>
          </w:p>
        </w:tc>
        <w:tc>
          <w:tcPr>
            <w:tcW w:w="0" w:type="auto"/>
            <w:tcBorders>
              <w:top w:val="single" w:sz="1" w:space="0" w:color="000000"/>
              <w:bottom w:val="single" w:sz="1" w:space="0" w:color="000000"/>
            </w:tcBorders>
          </w:tcPr>
          <w:p w14:paraId="6524759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Identidad social, normas y valores compartidos, pensamiento grupal, estereotipia </w:t>
            </w:r>
            <w:proofErr w:type="gramStart"/>
            <w:r w:rsidRPr="00BD4906">
              <w:rPr>
                <w:rFonts w:ascii="Aptos" w:eastAsia="source sans 3" w:hAnsi="Aptos" w:cs="source sans 3"/>
                <w:color w:val="000000"/>
                <w:sz w:val="20"/>
                <w:szCs w:val="20"/>
              </w:rPr>
              <w:t>compartida[</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19C217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681EDC"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Macrosociales</w:t>
            </w:r>
          </w:p>
        </w:tc>
        <w:tc>
          <w:tcPr>
            <w:tcW w:w="0" w:type="auto"/>
            <w:tcBorders>
              <w:top w:val="single" w:sz="1" w:space="0" w:color="000000"/>
              <w:bottom w:val="single" w:sz="1" w:space="0" w:color="000000"/>
              <w:right w:val="single" w:sz="1" w:space="0" w:color="000000"/>
            </w:tcBorders>
          </w:tcPr>
          <w:p w14:paraId="2F74BEE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Sistemas y estructuras globales de la sociedad</w:t>
            </w:r>
          </w:p>
        </w:tc>
        <w:tc>
          <w:tcPr>
            <w:tcW w:w="0" w:type="auto"/>
            <w:tcBorders>
              <w:top w:val="single" w:sz="1" w:space="0" w:color="000000"/>
              <w:bottom w:val="single" w:sz="1" w:space="0" w:color="000000"/>
            </w:tcBorders>
          </w:tcPr>
          <w:p w14:paraId="2CCB993A"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Estructuras de poder y estatus, dominancia de género, clases sociales, cultura, capitalismo, </w:t>
            </w:r>
            <w:proofErr w:type="gramStart"/>
            <w:r w:rsidRPr="00BD4906">
              <w:rPr>
                <w:rFonts w:ascii="Aptos" w:eastAsia="source sans 3" w:hAnsi="Aptos" w:cs="source sans 3"/>
                <w:color w:val="000000"/>
                <w:sz w:val="20"/>
                <w:szCs w:val="20"/>
              </w:rPr>
              <w:t>patriarcado[</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bl>
    <w:p w14:paraId="460FEDAC" w14:textId="77777777" w:rsidR="008B3B9F" w:rsidRPr="00BD4906" w:rsidRDefault="008B3B9F" w:rsidP="00BD4906">
      <w:pPr>
        <w:spacing w:after="0" w:line="240" w:lineRule="auto"/>
        <w:rPr>
          <w:rFonts w:ascii="Aptos" w:hAnsi="Aptos"/>
          <w:sz w:val="20"/>
          <w:szCs w:val="20"/>
        </w:rPr>
      </w:pPr>
    </w:p>
    <w:p w14:paraId="6C1DB5F3"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Es importante notar que estos procesos no son de la misma naturaleza y su interconexión es una de las características definitorias de la disciplina, tal como se profundiza más abajo con el trabajo de </w:t>
      </w:r>
      <w:proofErr w:type="spellStart"/>
      <w:r w:rsidRPr="00BD4906">
        <w:rPr>
          <w:rFonts w:ascii="Aptos" w:eastAsia="source serif 4" w:hAnsi="Aptos" w:cs="source serif 4"/>
          <w:color w:val="000000"/>
          <w:sz w:val="20"/>
          <w:szCs w:val="20"/>
        </w:rPr>
        <w:t>Stangor</w:t>
      </w:r>
      <w:proofErr w:type="spellEnd"/>
      <w:r w:rsidRPr="00BD4906">
        <w:rPr>
          <w:rFonts w:ascii="Aptos" w:eastAsia="source serif 4" w:hAnsi="Aptos" w:cs="source serif 4"/>
          <w:color w:val="000000"/>
          <w:sz w:val="20"/>
          <w:szCs w:val="20"/>
        </w:rPr>
        <w:t xml:space="preserve"> y </w:t>
      </w:r>
      <w:proofErr w:type="spellStart"/>
      <w:r w:rsidRPr="00BD4906">
        <w:rPr>
          <w:rFonts w:ascii="Aptos" w:eastAsia="source serif 4" w:hAnsi="Aptos" w:cs="source serif 4"/>
          <w:color w:val="000000"/>
          <w:sz w:val="20"/>
          <w:szCs w:val="20"/>
        </w:rPr>
        <w:t>Jost</w:t>
      </w:r>
      <w:proofErr w:type="spellEnd"/>
      <w:r w:rsidRPr="00BD4906">
        <w:rPr>
          <w:rFonts w:ascii="Aptos" w:eastAsia="source serif 4" w:hAnsi="Aptos" w:cs="source serif 4"/>
          <w:color w:val="000000"/>
          <w:sz w:val="20"/>
          <w:szCs w:val="20"/>
        </w:rPr>
        <w:t>.</w:t>
      </w:r>
    </w:p>
    <w:p w14:paraId="766DD145"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8" w:name="historia_y_consolidación_de_la_di_5d09dd"/>
    </w:p>
    <w:p w14:paraId="4ADA1CA5" w14:textId="6DC9EBF4"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Historia y consolidación de la disciplina</w:t>
      </w:r>
      <w:bookmarkEnd w:id="8"/>
    </w:p>
    <w:p w14:paraId="2C89B90A" w14:textId="77777777" w:rsidR="008B3B9F" w:rsidRPr="00BD4906" w:rsidRDefault="00000000" w:rsidP="00BD4906">
      <w:pPr>
        <w:spacing w:after="0" w:line="240" w:lineRule="auto"/>
        <w:ind w:left="-30"/>
        <w:rPr>
          <w:rFonts w:ascii="Aptos" w:hAnsi="Aptos"/>
          <w:sz w:val="20"/>
          <w:szCs w:val="20"/>
        </w:rPr>
      </w:pPr>
      <w:bookmarkStart w:id="9" w:name="el_primer_experimento_triplett_y_1f4803"/>
      <w:r w:rsidRPr="00BD4906">
        <w:rPr>
          <w:rFonts w:ascii="Aptos" w:eastAsia="source serif 4" w:hAnsi="Aptos" w:cs="source serif 4"/>
          <w:b/>
          <w:color w:val="000000"/>
          <w:sz w:val="20"/>
          <w:szCs w:val="20"/>
        </w:rPr>
        <w:lastRenderedPageBreak/>
        <w:t>El primer experimento: Triplett y la facilitación social (1898)</w:t>
      </w:r>
      <w:bookmarkEnd w:id="9"/>
    </w:p>
    <w:p w14:paraId="3A8C78F8"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Norman Triplett diseñó el primer experimento controlado en la historia de la disciplina, inspirado por la observación de que los ciclistas mejoraban su rendimiento en contrarreloj cuando competían junto a otros. Con 40 niños que debían enrollar un carrete de pesca a máxima velocidad, comparó una condición individual con una condición coactiva (dos niños trabajando en paralelo, sin competir formalmente). Los resultados </w:t>
      </w:r>
      <w:proofErr w:type="gramStart"/>
      <w:r w:rsidRPr="00BD4906">
        <w:rPr>
          <w:rFonts w:ascii="Aptos" w:eastAsia="source serif 4" w:hAnsi="Aptos" w:cs="source serif 4"/>
          <w:color w:val="000000"/>
          <w:sz w:val="20"/>
          <w:szCs w:val="20"/>
        </w:rPr>
        <w:t>mostraron:[</w:t>
      </w:r>
      <w:proofErr w:type="gramEnd"/>
      <w:r w:rsidRPr="00BD4906">
        <w:rPr>
          <w:rFonts w:ascii="Aptos" w:eastAsia="source serif 4" w:hAnsi="Aptos" w:cs="source serif 4"/>
          <w:color w:val="000000"/>
          <w:sz w:val="20"/>
          <w:szCs w:val="20"/>
        </w:rPr>
        <w:t>^1]</w:t>
      </w:r>
    </w:p>
    <w:p w14:paraId="3A098EBF" w14:textId="77777777" w:rsidR="008B3B9F" w:rsidRPr="00BD4906" w:rsidRDefault="00000000" w:rsidP="00BD4906">
      <w:pPr>
        <w:numPr>
          <w:ilvl w:val="0"/>
          <w:numId w:val="3"/>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Facilitación social</w:t>
      </w:r>
      <w:r w:rsidRPr="00BD4906">
        <w:rPr>
          <w:rFonts w:ascii="Aptos" w:eastAsia="source serif 4" w:hAnsi="Aptos" w:cs="source serif 4"/>
          <w:color w:val="000000"/>
          <w:sz w:val="20"/>
          <w:szCs w:val="20"/>
        </w:rPr>
        <w:t>: aproximadamente la mitad de los niños aumentó su velocidad en presencia de un par, evidenciando un efecto "</w:t>
      </w:r>
      <w:proofErr w:type="spellStart"/>
      <w:r w:rsidRPr="00BD4906">
        <w:rPr>
          <w:rFonts w:ascii="Aptos" w:eastAsia="source serif 4" w:hAnsi="Aptos" w:cs="source serif 4"/>
          <w:color w:val="000000"/>
          <w:sz w:val="20"/>
          <w:szCs w:val="20"/>
        </w:rPr>
        <w:t>dinamogénico</w:t>
      </w:r>
      <w:proofErr w:type="spellEnd"/>
      <w:r w:rsidRPr="00BD4906">
        <w:rPr>
          <w:rFonts w:ascii="Aptos" w:eastAsia="source serif 4" w:hAnsi="Aptos" w:cs="source serif 4"/>
          <w:color w:val="000000"/>
          <w:sz w:val="20"/>
          <w:szCs w:val="20"/>
        </w:rPr>
        <w:t>".</w:t>
      </w:r>
    </w:p>
    <w:p w14:paraId="1BB60843" w14:textId="77777777" w:rsidR="008B3B9F" w:rsidRPr="00BD4906" w:rsidRDefault="00000000" w:rsidP="00BD4906">
      <w:pPr>
        <w:numPr>
          <w:ilvl w:val="0"/>
          <w:numId w:val="3"/>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Inhibición social</w:t>
      </w:r>
      <w:r w:rsidRPr="00BD4906">
        <w:rPr>
          <w:rFonts w:ascii="Aptos" w:eastAsia="source serif 4" w:hAnsi="Aptos" w:cs="source serif 4"/>
          <w:color w:val="000000"/>
          <w:sz w:val="20"/>
          <w:szCs w:val="20"/>
        </w:rPr>
        <w:t>: un porcentaje menor rindió igual o peor, por sobreestimulación o nerviosismo.</w:t>
      </w:r>
    </w:p>
    <w:p w14:paraId="3167A1C5" w14:textId="77777777" w:rsidR="008B3B9F" w:rsidRPr="00BD4906" w:rsidRDefault="00000000" w:rsidP="00BD4906">
      <w:pPr>
        <w:numPr>
          <w:ilvl w:val="0"/>
          <w:numId w:val="3"/>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Trascendencia conceptual</w:t>
      </w:r>
      <w:r w:rsidRPr="00BD4906">
        <w:rPr>
          <w:rFonts w:ascii="Aptos" w:eastAsia="source serif 4" w:hAnsi="Aptos" w:cs="source serif 4"/>
          <w:color w:val="000000"/>
          <w:sz w:val="20"/>
          <w:szCs w:val="20"/>
        </w:rPr>
        <w:t xml:space="preserve">: demostró que incluso el rendimiento motor más básico es sensible, de forma sistemática y medible, a la presencia de </w:t>
      </w:r>
      <w:proofErr w:type="gramStart"/>
      <w:r w:rsidRPr="00BD4906">
        <w:rPr>
          <w:rFonts w:ascii="Aptos" w:eastAsia="source serif 4" w:hAnsi="Aptos" w:cs="source serif 4"/>
          <w:color w:val="000000"/>
          <w:sz w:val="20"/>
          <w:szCs w:val="20"/>
        </w:rPr>
        <w:t>otros.[</w:t>
      </w:r>
      <w:proofErr w:type="gramEnd"/>
      <w:r w:rsidRPr="00BD4906">
        <w:rPr>
          <w:rFonts w:ascii="Aptos" w:eastAsia="source serif 4" w:hAnsi="Aptos" w:cs="source serif 4"/>
          <w:color w:val="000000"/>
          <w:sz w:val="20"/>
          <w:szCs w:val="20"/>
        </w:rPr>
        <w:t>^1]</w:t>
      </w:r>
    </w:p>
    <w:p w14:paraId="662A7205"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0" w:name="sherif_y_la_formación_de_normas_g_c72e32"/>
    </w:p>
    <w:p w14:paraId="6FB5DB94" w14:textId="6E0237FA"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Sherif y la formación de normas grupales (1935)</w:t>
      </w:r>
      <w:bookmarkEnd w:id="10"/>
    </w:p>
    <w:p w14:paraId="2EB5B4E1"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Muzafer Sherif investigó la conformidad y la construcción de marcos de referencia compartidos mediante el </w:t>
      </w:r>
      <w:r w:rsidRPr="00BD4906">
        <w:rPr>
          <w:rFonts w:ascii="Aptos" w:eastAsia="source serif 4" w:hAnsi="Aptos" w:cs="source serif 4"/>
          <w:b/>
          <w:color w:val="000000"/>
          <w:sz w:val="20"/>
          <w:szCs w:val="20"/>
        </w:rPr>
        <w:t xml:space="preserve">efecto </w:t>
      </w:r>
      <w:proofErr w:type="spellStart"/>
      <w:r w:rsidRPr="00BD4906">
        <w:rPr>
          <w:rFonts w:ascii="Aptos" w:eastAsia="source serif 4" w:hAnsi="Aptos" w:cs="source serif 4"/>
          <w:b/>
          <w:color w:val="000000"/>
          <w:sz w:val="20"/>
          <w:szCs w:val="20"/>
        </w:rPr>
        <w:t>autocinético</w:t>
      </w:r>
      <w:proofErr w:type="spellEnd"/>
      <w:r w:rsidRPr="00BD4906">
        <w:rPr>
          <w:rFonts w:ascii="Aptos" w:eastAsia="source serif 4" w:hAnsi="Aptos" w:cs="source serif 4"/>
          <w:color w:val="000000"/>
          <w:sz w:val="20"/>
          <w:szCs w:val="20"/>
        </w:rPr>
        <w:t xml:space="preserve"> (ilusión óptica de movimiento de un punto de luz estático en una habitación oscura). El diseño constó de tres fases:</w:t>
      </w:r>
    </w:p>
    <w:p w14:paraId="0BE8D5D0" w14:textId="77777777" w:rsidR="008B3B9F" w:rsidRPr="00BD4906" w:rsidRDefault="00000000" w:rsidP="00BD4906">
      <w:pPr>
        <w:numPr>
          <w:ilvl w:val="0"/>
          <w:numId w:val="4"/>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Juicios individuales</w:t>
      </w:r>
      <w:r w:rsidRPr="00BD4906">
        <w:rPr>
          <w:rFonts w:ascii="Aptos" w:eastAsia="source serif 4" w:hAnsi="Aptos" w:cs="source serif 4"/>
          <w:color w:val="000000"/>
          <w:sz w:val="20"/>
          <w:szCs w:val="20"/>
        </w:rPr>
        <w:t>: cada persona establece de forma autónoma su propio rango de estimación.</w:t>
      </w:r>
    </w:p>
    <w:p w14:paraId="7E5F3745" w14:textId="77777777" w:rsidR="008B3B9F" w:rsidRPr="00BD4906" w:rsidRDefault="00000000" w:rsidP="00BD4906">
      <w:pPr>
        <w:numPr>
          <w:ilvl w:val="0"/>
          <w:numId w:val="4"/>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Convergencia grupal</w:t>
      </w:r>
      <w:r w:rsidRPr="00BD4906">
        <w:rPr>
          <w:rFonts w:ascii="Aptos" w:eastAsia="source serif 4" w:hAnsi="Aptos" w:cs="source serif 4"/>
          <w:color w:val="000000"/>
          <w:sz w:val="20"/>
          <w:szCs w:val="20"/>
        </w:rPr>
        <w:t>: al trabajar en grupos de 2-3, los juicios individuales convergen rápidamente hacia una norma colectiva compartida.</w:t>
      </w:r>
    </w:p>
    <w:p w14:paraId="25D84070" w14:textId="77777777" w:rsidR="008B3B9F" w:rsidRPr="00BD4906" w:rsidRDefault="00000000" w:rsidP="00BD4906">
      <w:pPr>
        <w:numPr>
          <w:ilvl w:val="0"/>
          <w:numId w:val="4"/>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Interiorización</w:t>
      </w:r>
      <w:r w:rsidRPr="00BD4906">
        <w:rPr>
          <w:rFonts w:ascii="Aptos" w:eastAsia="source serif 4" w:hAnsi="Aptos" w:cs="source serif 4"/>
          <w:color w:val="000000"/>
          <w:sz w:val="20"/>
          <w:szCs w:val="20"/>
        </w:rPr>
        <w:t xml:space="preserve">: días después, evaluados individualmente y sin el grupo, los sujetos mantienen la estimación grupal, demostrando que la norma quedó interiorizada de forma </w:t>
      </w:r>
      <w:proofErr w:type="gramStart"/>
      <w:r w:rsidRPr="00BD4906">
        <w:rPr>
          <w:rFonts w:ascii="Aptos" w:eastAsia="source serif 4" w:hAnsi="Aptos" w:cs="source serif 4"/>
          <w:color w:val="000000"/>
          <w:sz w:val="20"/>
          <w:szCs w:val="20"/>
        </w:rPr>
        <w:t>estable.[</w:t>
      </w:r>
      <w:proofErr w:type="gramEnd"/>
      <w:r w:rsidRPr="00BD4906">
        <w:rPr>
          <w:rFonts w:ascii="Aptos" w:eastAsia="source serif 4" w:hAnsi="Aptos" w:cs="source serif 4"/>
          <w:color w:val="000000"/>
          <w:sz w:val="20"/>
          <w:szCs w:val="20"/>
        </w:rPr>
        <w:t>^1]</w:t>
      </w:r>
    </w:p>
    <w:p w14:paraId="13D36175"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1" w:name="consolidación_disciplinar_mediant_645b54"/>
    </w:p>
    <w:p w14:paraId="742CD197" w14:textId="056521EE"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Consolidación disciplinar mediante enfoque plural</w:t>
      </w:r>
      <w:bookmarkEnd w:id="11"/>
    </w:p>
    <w:p w14:paraId="767183F1"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Cuatro corrientes convergieron para consolidar científicamente la disciplina:</w:t>
      </w:r>
    </w:p>
    <w:p w14:paraId="7BDF9894" w14:textId="77777777" w:rsidR="008B3B9F" w:rsidRPr="00BD4906" w:rsidRDefault="00000000" w:rsidP="00BD4906">
      <w:pPr>
        <w:numPr>
          <w:ilvl w:val="0"/>
          <w:numId w:val="5"/>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Neoconductismo</w:t>
      </w:r>
      <w:r w:rsidRPr="00BD4906">
        <w:rPr>
          <w:rFonts w:ascii="Aptos" w:eastAsia="source serif 4" w:hAnsi="Aptos" w:cs="source serif 4"/>
          <w:color w:val="000000"/>
          <w:sz w:val="20"/>
          <w:szCs w:val="20"/>
        </w:rPr>
        <w:t xml:space="preserve">: Clark Hull introdujo variables intermedias entre estímulo y respuesta, transformando el esquema E-R en </w:t>
      </w:r>
      <w:r w:rsidRPr="00BD4906">
        <w:rPr>
          <w:rFonts w:ascii="Aptos" w:eastAsia="source serif 4" w:hAnsi="Aptos" w:cs="source serif 4"/>
          <w:b/>
          <w:color w:val="000000"/>
          <w:sz w:val="20"/>
          <w:szCs w:val="20"/>
        </w:rPr>
        <w:t>E-O-R</w:t>
      </w:r>
      <w:r w:rsidRPr="00BD4906">
        <w:rPr>
          <w:rFonts w:ascii="Aptos" w:eastAsia="source serif 4" w:hAnsi="Aptos" w:cs="source serif 4"/>
          <w:color w:val="000000"/>
          <w:sz w:val="20"/>
          <w:szCs w:val="20"/>
        </w:rPr>
        <w:t xml:space="preserve"> (Estímulo-Organismo-Respuesta), lo que permitió incorporar procesos cognitivos no </w:t>
      </w:r>
      <w:proofErr w:type="gramStart"/>
      <w:r w:rsidRPr="00BD4906">
        <w:rPr>
          <w:rFonts w:ascii="Aptos" w:eastAsia="source serif 4" w:hAnsi="Aptos" w:cs="source serif 4"/>
          <w:color w:val="000000"/>
          <w:sz w:val="20"/>
          <w:szCs w:val="20"/>
        </w:rPr>
        <w:t>observables.[</w:t>
      </w:r>
      <w:proofErr w:type="gramEnd"/>
      <w:r w:rsidRPr="00BD4906">
        <w:rPr>
          <w:rFonts w:ascii="Aptos" w:eastAsia="source serif 4" w:hAnsi="Aptos" w:cs="source serif 4"/>
          <w:color w:val="000000"/>
          <w:sz w:val="20"/>
          <w:szCs w:val="20"/>
        </w:rPr>
        <w:t>^1]</w:t>
      </w:r>
    </w:p>
    <w:p w14:paraId="4BED527C" w14:textId="77777777" w:rsidR="008B3B9F" w:rsidRPr="00BD4906" w:rsidRDefault="00000000" w:rsidP="00BD4906">
      <w:pPr>
        <w:numPr>
          <w:ilvl w:val="0"/>
          <w:numId w:val="5"/>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La Gestalt</w:t>
      </w:r>
      <w:r w:rsidRPr="00BD4906">
        <w:rPr>
          <w:rFonts w:ascii="Aptos" w:eastAsia="source serif 4" w:hAnsi="Aptos" w:cs="source serif 4"/>
          <w:color w:val="000000"/>
          <w:sz w:val="20"/>
          <w:szCs w:val="20"/>
        </w:rPr>
        <w:t xml:space="preserve">: originada en Alemania, planteó comprender la experiencia mental como un todo unificado; Kurt Lewin introdujo sus principios en la década de 1930, sentando las bases del "espacio de vida" grupal </w:t>
      </w:r>
      <w:proofErr w:type="gramStart"/>
      <w:r w:rsidRPr="00BD4906">
        <w:rPr>
          <w:rFonts w:ascii="Aptos" w:eastAsia="source serif 4" w:hAnsi="Aptos" w:cs="source serif 4"/>
          <w:color w:val="000000"/>
          <w:sz w:val="20"/>
          <w:szCs w:val="20"/>
        </w:rPr>
        <w:t>dinámico.[</w:t>
      </w:r>
      <w:proofErr w:type="gramEnd"/>
      <w:r w:rsidRPr="00BD4906">
        <w:rPr>
          <w:rFonts w:ascii="Aptos" w:eastAsia="source serif 4" w:hAnsi="Aptos" w:cs="source serif 4"/>
          <w:color w:val="000000"/>
          <w:sz w:val="20"/>
          <w:szCs w:val="20"/>
        </w:rPr>
        <w:t>^1]</w:t>
      </w:r>
    </w:p>
    <w:p w14:paraId="6A824E77" w14:textId="77777777" w:rsidR="008B3B9F" w:rsidRPr="00BD4906" w:rsidRDefault="00000000" w:rsidP="00BD4906">
      <w:pPr>
        <w:numPr>
          <w:ilvl w:val="0"/>
          <w:numId w:val="5"/>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Floyd Allport</w:t>
      </w:r>
      <w:r w:rsidRPr="00BD4906">
        <w:rPr>
          <w:rFonts w:ascii="Aptos" w:eastAsia="source serif 4" w:hAnsi="Aptos" w:cs="source serif 4"/>
          <w:color w:val="000000"/>
          <w:sz w:val="20"/>
          <w:szCs w:val="20"/>
        </w:rPr>
        <w:t xml:space="preserve">: publicó en los años veinte trabajos pioneros de investigación experimental, impulsando la metodología científica rigurosa en la </w:t>
      </w:r>
      <w:proofErr w:type="gramStart"/>
      <w:r w:rsidRPr="00BD4906">
        <w:rPr>
          <w:rFonts w:ascii="Aptos" w:eastAsia="source serif 4" w:hAnsi="Aptos" w:cs="source serif 4"/>
          <w:color w:val="000000"/>
          <w:sz w:val="20"/>
          <w:szCs w:val="20"/>
        </w:rPr>
        <w:t>disciplina.[</w:t>
      </w:r>
      <w:proofErr w:type="gramEnd"/>
      <w:r w:rsidRPr="00BD4906">
        <w:rPr>
          <w:rFonts w:ascii="Aptos" w:eastAsia="source serif 4" w:hAnsi="Aptos" w:cs="source serif 4"/>
          <w:color w:val="000000"/>
          <w:sz w:val="20"/>
          <w:szCs w:val="20"/>
        </w:rPr>
        <w:t>^1]</w:t>
      </w:r>
    </w:p>
    <w:p w14:paraId="240908E5" w14:textId="77777777" w:rsidR="008B3B9F" w:rsidRPr="00BD4906" w:rsidRDefault="00000000" w:rsidP="00BD4906">
      <w:pPr>
        <w:numPr>
          <w:ilvl w:val="0"/>
          <w:numId w:val="5"/>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Escuela de Chicago</w:t>
      </w:r>
      <w:r w:rsidRPr="00BD4906">
        <w:rPr>
          <w:rFonts w:ascii="Aptos" w:eastAsia="source serif 4" w:hAnsi="Aptos" w:cs="source serif 4"/>
          <w:color w:val="000000"/>
          <w:sz w:val="20"/>
          <w:szCs w:val="20"/>
        </w:rPr>
        <w:t xml:space="preserve">: fundada en 1890, con orientación empírica plural (cuantitativa y cualitativa); George Mead promovió la aplicación directa del conocimiento sociológico a problemáticas </w:t>
      </w:r>
      <w:proofErr w:type="gramStart"/>
      <w:r w:rsidRPr="00BD4906">
        <w:rPr>
          <w:rFonts w:ascii="Aptos" w:eastAsia="source serif 4" w:hAnsi="Aptos" w:cs="source serif 4"/>
          <w:color w:val="000000"/>
          <w:sz w:val="20"/>
          <w:szCs w:val="20"/>
        </w:rPr>
        <w:t>reales.[</w:t>
      </w:r>
      <w:proofErr w:type="gramEnd"/>
      <w:r w:rsidRPr="00BD4906">
        <w:rPr>
          <w:rFonts w:ascii="Aptos" w:eastAsia="source serif 4" w:hAnsi="Aptos" w:cs="source serif 4"/>
          <w:color w:val="000000"/>
          <w:sz w:val="20"/>
          <w:szCs w:val="20"/>
        </w:rPr>
        <w:t>^1]</w:t>
      </w:r>
    </w:p>
    <w:p w14:paraId="73E81FCC"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2" w:name="tres_hitos_evolutivos_posteriores"/>
    </w:p>
    <w:p w14:paraId="09A6EE9E" w14:textId="2F4E8F9C"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Tres hitos evolutivos posteriores</w:t>
      </w:r>
      <w:bookmarkEnd w:id="12"/>
    </w:p>
    <w:p w14:paraId="641CEA6E" w14:textId="77777777" w:rsidR="008B3B9F" w:rsidRPr="00BD4906" w:rsidRDefault="00000000" w:rsidP="00BD4906">
      <w:pPr>
        <w:numPr>
          <w:ilvl w:val="0"/>
          <w:numId w:val="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Segunda Guerra Mundial y posguerra</w:t>
      </w:r>
      <w:r w:rsidRPr="00BD4906">
        <w:rPr>
          <w:rFonts w:ascii="Aptos" w:eastAsia="source serif 4" w:hAnsi="Aptos" w:cs="source serif 4"/>
          <w:color w:val="000000"/>
          <w:sz w:val="20"/>
          <w:szCs w:val="20"/>
        </w:rPr>
        <w:t xml:space="preserve"> ("edad de oro del laboratorio"): la financiación estatal masiva para salud mental y dinámica grupal permitió las investigaciones de Solomon Asch sobre conformidad y de Kurt Lewin sobre dinámicas grupales, consolidando la experimentación </w:t>
      </w:r>
      <w:proofErr w:type="gramStart"/>
      <w:r w:rsidRPr="00BD4906">
        <w:rPr>
          <w:rFonts w:ascii="Aptos" w:eastAsia="source serif 4" w:hAnsi="Aptos" w:cs="source serif 4"/>
          <w:color w:val="000000"/>
          <w:sz w:val="20"/>
          <w:szCs w:val="20"/>
        </w:rPr>
        <w:t>controlada.[</w:t>
      </w:r>
      <w:proofErr w:type="gramEnd"/>
      <w:r w:rsidRPr="00BD4906">
        <w:rPr>
          <w:rFonts w:ascii="Aptos" w:eastAsia="source serif 4" w:hAnsi="Aptos" w:cs="source serif 4"/>
          <w:color w:val="000000"/>
          <w:sz w:val="20"/>
          <w:szCs w:val="20"/>
        </w:rPr>
        <w:t>^1]</w:t>
      </w:r>
    </w:p>
    <w:p w14:paraId="445A5F4B" w14:textId="77777777" w:rsidR="008B3B9F" w:rsidRPr="00BD4906" w:rsidRDefault="00000000" w:rsidP="00BD4906">
      <w:pPr>
        <w:numPr>
          <w:ilvl w:val="0"/>
          <w:numId w:val="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La crisis psicosocial (años 60-70)</w:t>
      </w:r>
      <w:r w:rsidRPr="00BD4906">
        <w:rPr>
          <w:rFonts w:ascii="Aptos" w:eastAsia="source serif 4" w:hAnsi="Aptos" w:cs="source serif 4"/>
          <w:color w:val="000000"/>
          <w:sz w:val="20"/>
          <w:szCs w:val="20"/>
        </w:rPr>
        <w:t xml:space="preserve">: cuestionamiento ético y epistemológico profundo, con críticas al reduccionismo psicológico, al ahistoricismo, al sesgo cultural, a las implicaciones éticas de los experimentos de laboratorio y a la falta de relevancia </w:t>
      </w:r>
      <w:proofErr w:type="gramStart"/>
      <w:r w:rsidRPr="00BD4906">
        <w:rPr>
          <w:rFonts w:ascii="Aptos" w:eastAsia="source serif 4" w:hAnsi="Aptos" w:cs="source serif 4"/>
          <w:color w:val="000000"/>
          <w:sz w:val="20"/>
          <w:szCs w:val="20"/>
        </w:rPr>
        <w:t>social.[</w:t>
      </w:r>
      <w:proofErr w:type="gramEnd"/>
      <w:r w:rsidRPr="00BD4906">
        <w:rPr>
          <w:rFonts w:ascii="Aptos" w:eastAsia="source serif 4" w:hAnsi="Aptos" w:cs="source serif 4"/>
          <w:color w:val="000000"/>
          <w:sz w:val="20"/>
          <w:szCs w:val="20"/>
        </w:rPr>
        <w:t>^1]</w:t>
      </w:r>
    </w:p>
    <w:p w14:paraId="5A069836" w14:textId="77777777" w:rsidR="008B3B9F" w:rsidRPr="00BD4906" w:rsidRDefault="00000000" w:rsidP="00BD4906">
      <w:pPr>
        <w:numPr>
          <w:ilvl w:val="0"/>
          <w:numId w:val="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Neurociencia social (año 2000)</w:t>
      </w:r>
      <w:r w:rsidRPr="00BD4906">
        <w:rPr>
          <w:rFonts w:ascii="Aptos" w:eastAsia="source serif 4" w:hAnsi="Aptos" w:cs="source serif 4"/>
          <w:color w:val="000000"/>
          <w:sz w:val="20"/>
          <w:szCs w:val="20"/>
        </w:rPr>
        <w:t xml:space="preserve">: nueva rama transdisciplinaria que integra psicología social, neurociencias y cognición, estudiando bases biológicas, inmunológicas y hormonales del comportamiento social mediante </w:t>
      </w:r>
      <w:proofErr w:type="spellStart"/>
      <w:r w:rsidRPr="00BD4906">
        <w:rPr>
          <w:rFonts w:ascii="Aptos" w:eastAsia="source serif 4" w:hAnsi="Aptos" w:cs="source serif 4"/>
          <w:color w:val="000000"/>
          <w:sz w:val="20"/>
          <w:szCs w:val="20"/>
        </w:rPr>
        <w:t>fMRI</w:t>
      </w:r>
      <w:proofErr w:type="spellEnd"/>
      <w:r w:rsidRPr="00BD4906">
        <w:rPr>
          <w:rFonts w:ascii="Aptos" w:eastAsia="source serif 4" w:hAnsi="Aptos" w:cs="source serif 4"/>
          <w:color w:val="000000"/>
          <w:sz w:val="20"/>
          <w:szCs w:val="20"/>
        </w:rPr>
        <w:t xml:space="preserve"> y modelos </w:t>
      </w:r>
      <w:proofErr w:type="gramStart"/>
      <w:r w:rsidRPr="00BD4906">
        <w:rPr>
          <w:rFonts w:ascii="Aptos" w:eastAsia="source serif 4" w:hAnsi="Aptos" w:cs="source serif 4"/>
          <w:color w:val="000000"/>
          <w:sz w:val="20"/>
          <w:szCs w:val="20"/>
        </w:rPr>
        <w:t>computacionales.[</w:t>
      </w:r>
      <w:proofErr w:type="gramEnd"/>
      <w:r w:rsidRPr="00BD4906">
        <w:rPr>
          <w:rFonts w:ascii="Aptos" w:eastAsia="source serif 4" w:hAnsi="Aptos" w:cs="source serif 4"/>
          <w:color w:val="000000"/>
          <w:sz w:val="20"/>
          <w:szCs w:val="20"/>
        </w:rPr>
        <w:t>^1]</w:t>
      </w:r>
    </w:p>
    <w:p w14:paraId="70214DCF"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3" w:name="la_complejidad_de_la_psicología_s_1c677f"/>
    </w:p>
    <w:p w14:paraId="4A0A32E6" w14:textId="2B18C3EE"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La complejidad de la Psicología Social: dos teorías integradoras</w:t>
      </w:r>
      <w:bookmarkEnd w:id="13"/>
    </w:p>
    <w:p w14:paraId="044F6EE2"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Para mostrar cómo la disciplina articula procesos de distinta naturaleza (individual, grupal, macrosocial), la bibliografía analiza en profundidad dos teorías de gran influencia.</w:t>
      </w:r>
    </w:p>
    <w:p w14:paraId="165DA12A"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4" w:name="teoría_de_la_identidad_social_taj_a528fb"/>
    </w:p>
    <w:p w14:paraId="765D98F5" w14:textId="48B301EC"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Teoría de la Identidad Social (Tajfel, 1972)</w:t>
      </w:r>
      <w:bookmarkEnd w:id="14"/>
    </w:p>
    <w:p w14:paraId="7FC1EC6E"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lastRenderedPageBreak/>
        <w:t xml:space="preserve">Definición original de Tajfel: </w:t>
      </w:r>
      <w:r w:rsidRPr="00BD4906">
        <w:rPr>
          <w:rFonts w:ascii="Aptos" w:eastAsia="source serif 4" w:hAnsi="Aptos" w:cs="source serif 4"/>
          <w:i/>
          <w:color w:val="000000"/>
          <w:sz w:val="20"/>
          <w:szCs w:val="20"/>
        </w:rPr>
        <w:t>"la identidad social de una persona está ligada al conocimiento de su pertenencia a ciertos grupos sociales y al significado emocional y evaluativo que surge de esa pertenencia"</w:t>
      </w:r>
      <w:r w:rsidRPr="00BD4906">
        <w:rPr>
          <w:rFonts w:ascii="Aptos" w:eastAsia="source serif 4" w:hAnsi="Aptos" w:cs="source serif 4"/>
          <w:color w:val="000000"/>
          <w:sz w:val="20"/>
          <w:szCs w:val="20"/>
        </w:rPr>
        <w:t>. Representa la porción del autoconcepto derivada de la pertenencia a categorías sociales valoradas.[</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12E138ED" w14:textId="77777777" w:rsidR="00BD4906" w:rsidRDefault="00BD4906" w:rsidP="00BD4906">
      <w:pPr>
        <w:spacing w:after="0" w:line="240" w:lineRule="auto"/>
        <w:rPr>
          <w:rFonts w:ascii="Aptos" w:eastAsiaTheme="minorEastAsia" w:hAnsi="Aptos" w:cs="source serif 4"/>
          <w:b/>
          <w:color w:val="000000"/>
          <w:sz w:val="20"/>
          <w:szCs w:val="20"/>
          <w:lang w:eastAsia="ko-KR"/>
        </w:rPr>
      </w:pPr>
    </w:p>
    <w:p w14:paraId="4D983ADC" w14:textId="20FC875A"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b/>
          <w:color w:val="000000"/>
          <w:sz w:val="20"/>
          <w:szCs w:val="20"/>
        </w:rPr>
        <w:t>Diferenciación clave (Turner y Haslam, 2001)</w:t>
      </w:r>
      <w:r w:rsidRPr="00BD4906">
        <w:rPr>
          <w:rFonts w:ascii="Aptos" w:eastAsia="source serif 4" w:hAnsi="Aptos" w:cs="source serif 4"/>
          <w:color w:val="000000"/>
          <w:sz w:val="20"/>
          <w:szCs w:val="20"/>
        </w:rPr>
        <w:t xml:space="preserve">: existe un antagonismo funcional entre </w:t>
      </w:r>
      <w:r w:rsidRPr="00BD4906">
        <w:rPr>
          <w:rFonts w:ascii="Aptos" w:eastAsia="source serif 4" w:hAnsi="Aptos" w:cs="source serif 4"/>
          <w:b/>
          <w:color w:val="000000"/>
          <w:sz w:val="20"/>
          <w:szCs w:val="20"/>
        </w:rPr>
        <w:t>identidad personal</w:t>
      </w:r>
      <w:r w:rsidRPr="00BD4906">
        <w:rPr>
          <w:rFonts w:ascii="Aptos" w:eastAsia="source serif 4" w:hAnsi="Aptos" w:cs="source serif 4"/>
          <w:color w:val="000000"/>
          <w:sz w:val="20"/>
          <w:szCs w:val="20"/>
        </w:rPr>
        <w:t xml:space="preserve"> (rasgos únicos e idiosincrásicos del individuo) e </w:t>
      </w:r>
      <w:r w:rsidRPr="00BD4906">
        <w:rPr>
          <w:rFonts w:ascii="Aptos" w:eastAsia="source serif 4" w:hAnsi="Aptos" w:cs="source serif 4"/>
          <w:b/>
          <w:color w:val="000000"/>
          <w:sz w:val="20"/>
          <w:szCs w:val="20"/>
        </w:rPr>
        <w:t>identidad social</w:t>
      </w:r>
      <w:r w:rsidRPr="00BD4906">
        <w:rPr>
          <w:rFonts w:ascii="Aptos" w:eastAsia="source serif 4" w:hAnsi="Aptos" w:cs="source serif 4"/>
          <w:color w:val="000000"/>
          <w:sz w:val="20"/>
          <w:szCs w:val="20"/>
        </w:rPr>
        <w:t xml:space="preserve"> (definición del yo basada en pertenencia categorial); la activación de una desplaza temporalmente a la otra.[</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6416F059"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La búsqueda de identidad social positiva integra los tres niveles de procesos:</w:t>
      </w:r>
    </w:p>
    <w:p w14:paraId="5F0F6BC9" w14:textId="77777777" w:rsidR="008B3B9F" w:rsidRPr="00BD4906" w:rsidRDefault="00000000" w:rsidP="00BD4906">
      <w:pPr>
        <w:numPr>
          <w:ilvl w:val="0"/>
          <w:numId w:val="7"/>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Individuales</w:t>
      </w:r>
      <w:r w:rsidRPr="00BD4906">
        <w:rPr>
          <w:rFonts w:ascii="Aptos" w:eastAsia="source serif 4" w:hAnsi="Aptos" w:cs="source serif 4"/>
          <w:color w:val="000000"/>
          <w:sz w:val="20"/>
          <w:szCs w:val="20"/>
        </w:rPr>
        <w:t xml:space="preserve">: se combina la motivación de </w:t>
      </w:r>
      <w:proofErr w:type="spellStart"/>
      <w:r w:rsidRPr="00BD4906">
        <w:rPr>
          <w:rFonts w:ascii="Aptos" w:eastAsia="source serif 4" w:hAnsi="Aptos" w:cs="source serif 4"/>
          <w:color w:val="000000"/>
          <w:sz w:val="20"/>
          <w:szCs w:val="20"/>
        </w:rPr>
        <w:t>autoensalzamiento</w:t>
      </w:r>
      <w:proofErr w:type="spellEnd"/>
      <w:r w:rsidRPr="00BD4906">
        <w:rPr>
          <w:rFonts w:ascii="Aptos" w:eastAsia="source serif 4" w:hAnsi="Aptos" w:cs="source serif 4"/>
          <w:color w:val="000000"/>
          <w:sz w:val="20"/>
          <w:szCs w:val="20"/>
        </w:rPr>
        <w:t xml:space="preserve"> (autoevaluación positiva) con la importancia que el grupo tiene para la persona, generando la motivación para evaluar positivamente al propio grupo.[</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6DA6D59C" w14:textId="77777777" w:rsidR="008B3B9F" w:rsidRPr="00BD4906" w:rsidRDefault="00000000" w:rsidP="00BD4906">
      <w:pPr>
        <w:numPr>
          <w:ilvl w:val="0"/>
          <w:numId w:val="7"/>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Grupales</w:t>
      </w:r>
      <w:r w:rsidRPr="00BD4906">
        <w:rPr>
          <w:rFonts w:ascii="Aptos" w:eastAsia="source serif 4" w:hAnsi="Aptos" w:cs="source serif 4"/>
          <w:color w:val="000000"/>
          <w:sz w:val="20"/>
          <w:szCs w:val="20"/>
        </w:rPr>
        <w:t xml:space="preserve">: requiere comparación social con exogrupos relevantes en el contexto; cuando esta comparación favorece al </w:t>
      </w:r>
      <w:proofErr w:type="spellStart"/>
      <w:r w:rsidRPr="00BD4906">
        <w:rPr>
          <w:rFonts w:ascii="Aptos" w:eastAsia="source serif 4" w:hAnsi="Aptos" w:cs="source serif 4"/>
          <w:color w:val="000000"/>
          <w:sz w:val="20"/>
          <w:szCs w:val="20"/>
        </w:rPr>
        <w:t>endogrupo</w:t>
      </w:r>
      <w:proofErr w:type="spellEnd"/>
      <w:r w:rsidRPr="00BD4906">
        <w:rPr>
          <w:rFonts w:ascii="Aptos" w:eastAsia="source serif 4" w:hAnsi="Aptos" w:cs="source serif 4"/>
          <w:color w:val="000000"/>
          <w:sz w:val="20"/>
          <w:szCs w:val="20"/>
        </w:rPr>
        <w:t xml:space="preserve"> se produce la </w:t>
      </w:r>
      <w:r w:rsidRPr="00BD4906">
        <w:rPr>
          <w:rFonts w:ascii="Aptos" w:eastAsia="source serif 4" w:hAnsi="Aptos" w:cs="source serif 4"/>
          <w:b/>
          <w:color w:val="000000"/>
          <w:sz w:val="20"/>
          <w:szCs w:val="20"/>
        </w:rPr>
        <w:t>distintividad social positiva</w:t>
      </w:r>
      <w:r w:rsidRPr="00BD4906">
        <w:rPr>
          <w:rFonts w:ascii="Aptos" w:eastAsia="source serif 4" w:hAnsi="Aptos" w:cs="source serif 4"/>
          <w:color w:val="000000"/>
          <w:sz w:val="20"/>
          <w:szCs w:val="20"/>
        </w:rPr>
        <w:t>, base de la identidad social.[</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345DA879" w14:textId="77777777" w:rsidR="008B3B9F" w:rsidRPr="00BD4906" w:rsidRDefault="00000000" w:rsidP="00BD4906">
      <w:pPr>
        <w:numPr>
          <w:ilvl w:val="0"/>
          <w:numId w:val="7"/>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Macrosociales</w:t>
      </w:r>
      <w:r w:rsidRPr="00BD4906">
        <w:rPr>
          <w:rFonts w:ascii="Aptos" w:eastAsia="source serif 4" w:hAnsi="Aptos" w:cs="source serif 4"/>
          <w:color w:val="000000"/>
          <w:sz w:val="20"/>
          <w:szCs w:val="20"/>
        </w:rPr>
        <w:t>: el contexto histórico y socioeconómico determina qué grupos gozan de mayor o menor prestigio (por ejemplo, en Italia y en Estados Unidos, ser del "Norte" se valora más positivamente que ser del "Sur"), estableciendo el estatus de partida para construir la identidad.[</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08150BE4"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Turner y Haslam (2001) destacan tres conexiones fundamentales: el antagonismo identidad personal/social, la dependencia mutua entre identidad social y contexto, y la dependencia del contexto respecto de las creencias sobre legitimidad y estabilidad de las diferencias de </w:t>
      </w:r>
      <w:proofErr w:type="gramStart"/>
      <w:r w:rsidRPr="00BD4906">
        <w:rPr>
          <w:rFonts w:ascii="Aptos" w:eastAsia="source serif 4" w:hAnsi="Aptos" w:cs="source serif 4"/>
          <w:color w:val="000000"/>
          <w:sz w:val="20"/>
          <w:szCs w:val="20"/>
        </w:rPr>
        <w:t>estatus.[</w:t>
      </w:r>
      <w:proofErr w:type="gramEnd"/>
      <w:r w:rsidRPr="00BD4906">
        <w:rPr>
          <w:rFonts w:ascii="Aptos" w:eastAsia="source serif 4" w:hAnsi="Aptos" w:cs="source serif 4"/>
          <w:color w:val="000000"/>
          <w:sz w:val="20"/>
          <w:szCs w:val="20"/>
        </w:rPr>
        <w:t>^2]</w:t>
      </w:r>
    </w:p>
    <w:p w14:paraId="06EF15B4"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5" w:name="estrategias_frente_al_bajo_estatu_1e990a"/>
    </w:p>
    <w:p w14:paraId="2A75ECD1" w14:textId="65519C89"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Estrategias frente al bajo estatus grupal</w:t>
      </w:r>
      <w:bookmarkEnd w:id="15"/>
    </w:p>
    <w:p w14:paraId="090AD03E"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Cuando una persona pertenece a un grupo de bajo estatus experimenta tensión motivacional. Las estrategias de afrontamiento dependen de las creencias sobre las fronteras grupales y la legitimidad/estabilidad del sistema: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10"/>
        <w:gridCol w:w="4290"/>
        <w:gridCol w:w="3404"/>
      </w:tblGrid>
      <w:tr w:rsidR="008B3B9F" w:rsidRPr="00BD4906" w14:paraId="7EB617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E3847B"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Estrategia</w:t>
            </w:r>
          </w:p>
        </w:tc>
        <w:tc>
          <w:tcPr>
            <w:tcW w:w="0" w:type="auto"/>
            <w:tcBorders>
              <w:top w:val="single" w:sz="1" w:space="0" w:color="000000"/>
              <w:bottom w:val="single" w:sz="1" w:space="0" w:color="000000"/>
              <w:right w:val="single" w:sz="1" w:space="0" w:color="000000"/>
            </w:tcBorders>
          </w:tcPr>
          <w:p w14:paraId="795E5818"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Descripción</w:t>
            </w:r>
          </w:p>
        </w:tc>
        <w:tc>
          <w:tcPr>
            <w:tcW w:w="0" w:type="auto"/>
            <w:tcBorders>
              <w:top w:val="single" w:sz="1" w:space="0" w:color="000000"/>
              <w:bottom w:val="single" w:sz="1" w:space="0" w:color="000000"/>
            </w:tcBorders>
          </w:tcPr>
          <w:p w14:paraId="336682D6"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Creencias determinantes</w:t>
            </w:r>
          </w:p>
        </w:tc>
      </w:tr>
      <w:tr w:rsidR="008B3B9F" w:rsidRPr="00BD4906" w14:paraId="6A39F8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BBAE99"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Movilidad individual</w:t>
            </w:r>
          </w:p>
        </w:tc>
        <w:tc>
          <w:tcPr>
            <w:tcW w:w="0" w:type="auto"/>
            <w:tcBorders>
              <w:top w:val="single" w:sz="1" w:space="0" w:color="000000"/>
              <w:bottom w:val="single" w:sz="1" w:space="0" w:color="000000"/>
              <w:right w:val="single" w:sz="1" w:space="0" w:color="000000"/>
            </w:tcBorders>
          </w:tcPr>
          <w:p w14:paraId="7D25F42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La persona intenta abandonar individualmente su </w:t>
            </w:r>
            <w:proofErr w:type="spellStart"/>
            <w:r w:rsidRPr="00BD4906">
              <w:rPr>
                <w:rFonts w:ascii="Aptos" w:eastAsia="source sans 3" w:hAnsi="Aptos" w:cs="source sans 3"/>
                <w:color w:val="000000"/>
                <w:sz w:val="20"/>
                <w:szCs w:val="20"/>
              </w:rPr>
              <w:t>endogrupo</w:t>
            </w:r>
            <w:proofErr w:type="spellEnd"/>
            <w:r w:rsidRPr="00BD4906">
              <w:rPr>
                <w:rFonts w:ascii="Aptos" w:eastAsia="source sans 3" w:hAnsi="Aptos" w:cs="source sans 3"/>
                <w:color w:val="000000"/>
                <w:sz w:val="20"/>
                <w:szCs w:val="20"/>
              </w:rPr>
              <w:t xml:space="preserve"> para integrarse en un exogrupo mejor valorado</w:t>
            </w:r>
          </w:p>
        </w:tc>
        <w:tc>
          <w:tcPr>
            <w:tcW w:w="0" w:type="auto"/>
            <w:tcBorders>
              <w:top w:val="single" w:sz="1" w:space="0" w:color="000000"/>
              <w:bottom w:val="single" w:sz="1" w:space="0" w:color="000000"/>
            </w:tcBorders>
          </w:tcPr>
          <w:p w14:paraId="341379F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Fronteras permeables; estatus seguro (estable + </w:t>
            </w:r>
            <w:proofErr w:type="gramStart"/>
            <w:r w:rsidRPr="00BD4906">
              <w:rPr>
                <w:rFonts w:ascii="Aptos" w:eastAsia="source sans 3" w:hAnsi="Aptos" w:cs="source sans 3"/>
                <w:color w:val="000000"/>
                <w:sz w:val="20"/>
                <w:szCs w:val="20"/>
              </w:rPr>
              <w:t>legítimo)[</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6AC123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FA754F"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Creatividad social</w:t>
            </w:r>
          </w:p>
        </w:tc>
        <w:tc>
          <w:tcPr>
            <w:tcW w:w="0" w:type="auto"/>
            <w:tcBorders>
              <w:top w:val="single" w:sz="1" w:space="0" w:color="000000"/>
              <w:bottom w:val="single" w:sz="1" w:space="0" w:color="000000"/>
              <w:right w:val="single" w:sz="1" w:space="0" w:color="000000"/>
            </w:tcBorders>
          </w:tcPr>
          <w:p w14:paraId="3F7329E5"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Se redefinen los términos de comparación sin desafiar la estructura (ej. valorar "ser amigables" en vez de "productivos")</w:t>
            </w:r>
          </w:p>
        </w:tc>
        <w:tc>
          <w:tcPr>
            <w:tcW w:w="0" w:type="auto"/>
            <w:tcBorders>
              <w:top w:val="single" w:sz="1" w:space="0" w:color="000000"/>
              <w:bottom w:val="single" w:sz="1" w:space="0" w:color="000000"/>
            </w:tcBorders>
          </w:tcPr>
          <w:p w14:paraId="401B19FF"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Fronteras impermeables; estatus seguro (estable + </w:t>
            </w:r>
            <w:proofErr w:type="gramStart"/>
            <w:r w:rsidRPr="00BD4906">
              <w:rPr>
                <w:rFonts w:ascii="Aptos" w:eastAsia="source sans 3" w:hAnsi="Aptos" w:cs="source sans 3"/>
                <w:color w:val="000000"/>
                <w:sz w:val="20"/>
                <w:szCs w:val="20"/>
              </w:rPr>
              <w:t>legítimo)[</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20C06E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770E9E"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Competición intergrupal</w:t>
            </w:r>
          </w:p>
        </w:tc>
        <w:tc>
          <w:tcPr>
            <w:tcW w:w="0" w:type="auto"/>
            <w:tcBorders>
              <w:top w:val="single" w:sz="1" w:space="0" w:color="000000"/>
              <w:bottom w:val="single" w:sz="1" w:space="0" w:color="000000"/>
              <w:right w:val="single" w:sz="1" w:space="0" w:color="000000"/>
            </w:tcBorders>
          </w:tcPr>
          <w:p w14:paraId="087876BA"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Acción colectiva para desafiar directamente el statu quo asimétrico</w:t>
            </w:r>
          </w:p>
        </w:tc>
        <w:tc>
          <w:tcPr>
            <w:tcW w:w="0" w:type="auto"/>
            <w:tcBorders>
              <w:top w:val="single" w:sz="1" w:space="0" w:color="000000"/>
              <w:bottom w:val="single" w:sz="1" w:space="0" w:color="000000"/>
            </w:tcBorders>
          </w:tcPr>
          <w:p w14:paraId="106F814F"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Fronteras impermeables; estatus inestable e ilegítimo; fuerte identificación </w:t>
            </w:r>
            <w:proofErr w:type="gramStart"/>
            <w:r w:rsidRPr="00BD4906">
              <w:rPr>
                <w:rFonts w:ascii="Aptos" w:eastAsia="source sans 3" w:hAnsi="Aptos" w:cs="source sans 3"/>
                <w:color w:val="000000"/>
                <w:sz w:val="20"/>
                <w:szCs w:val="20"/>
              </w:rPr>
              <w:t>grupal[</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bl>
    <w:p w14:paraId="116DED93" w14:textId="77777777" w:rsidR="008B3B9F" w:rsidRPr="00BD4906" w:rsidRDefault="008B3B9F" w:rsidP="00BD4906">
      <w:pPr>
        <w:spacing w:after="0" w:line="240" w:lineRule="auto"/>
        <w:rPr>
          <w:rFonts w:ascii="Aptos" w:hAnsi="Aptos"/>
          <w:sz w:val="20"/>
          <w:szCs w:val="20"/>
        </w:rPr>
      </w:pPr>
    </w:p>
    <w:p w14:paraId="413FCCD6"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Cabe agregar una cuarta situación no siempre destacada en las diapositivas de cátedra pero presente en la bibliografía de base: los </w:t>
      </w:r>
      <w:r w:rsidRPr="00BD4906">
        <w:rPr>
          <w:rFonts w:ascii="Aptos" w:eastAsia="source serif 4" w:hAnsi="Aptos" w:cs="source serif 4"/>
          <w:b/>
          <w:color w:val="000000"/>
          <w:sz w:val="20"/>
          <w:szCs w:val="20"/>
        </w:rPr>
        <w:t>grupos de alto estatus</w:t>
      </w:r>
      <w:r w:rsidRPr="00BD4906">
        <w:rPr>
          <w:rFonts w:ascii="Aptos" w:eastAsia="source serif 4" w:hAnsi="Aptos" w:cs="source serif 4"/>
          <w:color w:val="000000"/>
          <w:sz w:val="20"/>
          <w:szCs w:val="20"/>
        </w:rPr>
        <w:t xml:space="preserve"> que perciben su posición como legítima pero inestable y amenazada también recurren a la </w:t>
      </w:r>
      <w:r w:rsidRPr="00BD4906">
        <w:rPr>
          <w:rFonts w:ascii="Aptos" w:eastAsia="source serif 4" w:hAnsi="Aptos" w:cs="source serif 4"/>
          <w:b/>
          <w:color w:val="000000"/>
          <w:sz w:val="20"/>
          <w:szCs w:val="20"/>
        </w:rPr>
        <w:t>competición intergrupal</w:t>
      </w:r>
      <w:r w:rsidRPr="00BD4906">
        <w:rPr>
          <w:rFonts w:ascii="Aptos" w:eastAsia="source serif 4" w:hAnsi="Aptos" w:cs="source serif 4"/>
          <w:color w:val="000000"/>
          <w:sz w:val="20"/>
          <w:szCs w:val="20"/>
        </w:rPr>
        <w:t xml:space="preserve">, pero con el objetivo de mantener (no cambiar) la situación </w:t>
      </w:r>
      <w:proofErr w:type="gramStart"/>
      <w:r w:rsidRPr="00BD4906">
        <w:rPr>
          <w:rFonts w:ascii="Aptos" w:eastAsia="source serif 4" w:hAnsi="Aptos" w:cs="source serif 4"/>
          <w:color w:val="000000"/>
          <w:sz w:val="20"/>
          <w:szCs w:val="20"/>
        </w:rPr>
        <w:t>existente.[</w:t>
      </w:r>
      <w:proofErr w:type="gramEnd"/>
      <w:r w:rsidRPr="00BD4906">
        <w:rPr>
          <w:rFonts w:ascii="Aptos" w:eastAsia="source serif 4" w:hAnsi="Aptos" w:cs="source serif 4"/>
          <w:color w:val="000000"/>
          <w:sz w:val="20"/>
          <w:szCs w:val="20"/>
        </w:rPr>
        <w:t>^2]</w:t>
      </w:r>
    </w:p>
    <w:p w14:paraId="7DAB148C"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6" w:name="teoría_de_la_justificación_del_si_f2d5f9"/>
    </w:p>
    <w:p w14:paraId="47A1FC91" w14:textId="1D205D61"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Teoría de la Justificación del Sistema (Jost y Banaji, 1994)</w:t>
      </w:r>
      <w:bookmarkEnd w:id="16"/>
    </w:p>
    <w:p w14:paraId="2C6323D0"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Postula que las personas tienen una fuerte tendencia motivacional a </w:t>
      </w:r>
      <w:r w:rsidRPr="00BD4906">
        <w:rPr>
          <w:rFonts w:ascii="Aptos" w:eastAsia="source serif 4" w:hAnsi="Aptos" w:cs="source serif 4"/>
          <w:b/>
          <w:color w:val="000000"/>
          <w:sz w:val="20"/>
          <w:szCs w:val="20"/>
        </w:rPr>
        <w:t>defender, legitimar y justificar</w:t>
      </w:r>
      <w:r w:rsidRPr="00BD4906">
        <w:rPr>
          <w:rFonts w:ascii="Aptos" w:eastAsia="source serif 4" w:hAnsi="Aptos" w:cs="source serif 4"/>
          <w:color w:val="000000"/>
          <w:sz w:val="20"/>
          <w:szCs w:val="20"/>
        </w:rPr>
        <w:t xml:space="preserve"> el sistema social, económico y político en el que viven, percibiéndolo como justo, necesario y estable, incluso cuando genera desigualdad sistemática.[</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7261B3EF"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Jost demostró que los estereotipos no son solo atajos cognitivos individuales, sino </w:t>
      </w:r>
      <w:r w:rsidRPr="00BD4906">
        <w:rPr>
          <w:rFonts w:ascii="Aptos" w:eastAsia="source serif 4" w:hAnsi="Aptos" w:cs="source serif 4"/>
          <w:b/>
          <w:color w:val="000000"/>
          <w:sz w:val="20"/>
          <w:szCs w:val="20"/>
        </w:rPr>
        <w:t>herramientas ideológicas</w:t>
      </w:r>
      <w:r w:rsidRPr="00BD4906">
        <w:rPr>
          <w:rFonts w:ascii="Aptos" w:eastAsia="source serif 4" w:hAnsi="Aptos" w:cs="source serif 4"/>
          <w:color w:val="000000"/>
          <w:sz w:val="20"/>
          <w:szCs w:val="20"/>
        </w:rPr>
        <w:t xml:space="preserve"> que legitiman la asimetría de estatus entre </w:t>
      </w:r>
      <w:proofErr w:type="gramStart"/>
      <w:r w:rsidRPr="00BD4906">
        <w:rPr>
          <w:rFonts w:ascii="Aptos" w:eastAsia="source serif 4" w:hAnsi="Aptos" w:cs="source serif 4"/>
          <w:color w:val="000000"/>
          <w:sz w:val="20"/>
          <w:szCs w:val="20"/>
        </w:rPr>
        <w:t>grupos.[</w:t>
      </w:r>
      <w:proofErr w:type="gramEnd"/>
      <w:r w:rsidRPr="00BD4906">
        <w:rPr>
          <w:rFonts w:ascii="Aptos" w:eastAsia="source serif 4" w:hAnsi="Aptos" w:cs="source serif 4"/>
          <w:color w:val="000000"/>
          <w:sz w:val="20"/>
          <w:szCs w:val="20"/>
        </w:rPr>
        <w:t>^1]</w:t>
      </w:r>
    </w:p>
    <w:p w14:paraId="65530AE8"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7" w:name="el_conflicto_psicológico_en_grupo_b22312"/>
    </w:p>
    <w:p w14:paraId="2940BBB5" w14:textId="2740358C"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El conflicto psicológico en grupos desfavorecidos</w:t>
      </w:r>
      <w:bookmarkEnd w:id="17"/>
    </w:p>
    <w:p w14:paraId="336DC72D"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lastRenderedPageBreak/>
        <w:t>Existen tres motivos o necesidades psicológicas básicas que, para los grupos privilegiados, cooperan entre sí, pero que entran en tensión para los grupos desfavorecidos:</w:t>
      </w:r>
    </w:p>
    <w:p w14:paraId="157EDA93" w14:textId="77777777" w:rsidR="008B3B9F" w:rsidRPr="00BD4906" w:rsidRDefault="00000000" w:rsidP="00BD4906">
      <w:pPr>
        <w:numPr>
          <w:ilvl w:val="0"/>
          <w:numId w:val="8"/>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Justificación del ego (autoestima)</w:t>
      </w:r>
      <w:r w:rsidRPr="00BD4906">
        <w:rPr>
          <w:rFonts w:ascii="Aptos" w:eastAsia="source serif 4" w:hAnsi="Aptos" w:cs="source serif 4"/>
          <w:color w:val="000000"/>
          <w:sz w:val="20"/>
          <w:szCs w:val="20"/>
        </w:rPr>
        <w:t>: necesidad de percibirse como actor social valioso y merecedor de respeto.</w:t>
      </w:r>
    </w:p>
    <w:p w14:paraId="3E93E8FB" w14:textId="77777777" w:rsidR="008B3B9F" w:rsidRPr="00BD4906" w:rsidRDefault="00000000" w:rsidP="00BD4906">
      <w:pPr>
        <w:numPr>
          <w:ilvl w:val="0"/>
          <w:numId w:val="8"/>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Justificación del grupo (</w:t>
      </w:r>
      <w:proofErr w:type="spellStart"/>
      <w:r w:rsidRPr="00BD4906">
        <w:rPr>
          <w:rFonts w:ascii="Aptos" w:eastAsia="source serif 4" w:hAnsi="Aptos" w:cs="source serif 4"/>
          <w:b/>
          <w:color w:val="000000"/>
          <w:sz w:val="20"/>
          <w:szCs w:val="20"/>
        </w:rPr>
        <w:t>endogrupo</w:t>
      </w:r>
      <w:proofErr w:type="spellEnd"/>
      <w:r w:rsidRPr="00BD4906">
        <w:rPr>
          <w:rFonts w:ascii="Aptos" w:eastAsia="source serif 4" w:hAnsi="Aptos" w:cs="source serif 4"/>
          <w:b/>
          <w:color w:val="000000"/>
          <w:sz w:val="20"/>
          <w:szCs w:val="20"/>
        </w:rPr>
        <w:t>)</w:t>
      </w:r>
      <w:r w:rsidRPr="00BD4906">
        <w:rPr>
          <w:rFonts w:ascii="Aptos" w:eastAsia="source serif 4" w:hAnsi="Aptos" w:cs="source serif 4"/>
          <w:color w:val="000000"/>
          <w:sz w:val="20"/>
          <w:szCs w:val="20"/>
        </w:rPr>
        <w:t>: necesidad de valorar positivamente al propio grupo frente a los exogrupos.</w:t>
      </w:r>
    </w:p>
    <w:p w14:paraId="4B5DCC22" w14:textId="77777777" w:rsidR="008B3B9F" w:rsidRPr="00BD4906" w:rsidRDefault="00000000" w:rsidP="00BD4906">
      <w:pPr>
        <w:numPr>
          <w:ilvl w:val="0"/>
          <w:numId w:val="8"/>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Justificación del sistema</w:t>
      </w:r>
      <w:r w:rsidRPr="00BD4906">
        <w:rPr>
          <w:rFonts w:ascii="Aptos" w:eastAsia="source serif 4" w:hAnsi="Aptos" w:cs="source serif 4"/>
          <w:color w:val="000000"/>
          <w:sz w:val="20"/>
          <w:szCs w:val="20"/>
        </w:rPr>
        <w:t>: necesidad de percibir el ordenamiento social como legítimo, justo y estable.[</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686D2438"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Para quienes pertenecen a grupos privilegiados, los tres motivos son compatibles: creer que el sistema recompensa el mérito es coherente con creerse valioso y con valorar al propio grupo. Para los grupos desfavorecidos, en cambio, aceptar la legitimidad del sistema implica admitir que la propia desventaja se debe a déficits del yo o del grupo, lo que genera una </w:t>
      </w:r>
      <w:r w:rsidRPr="00BD4906">
        <w:rPr>
          <w:rFonts w:ascii="Aptos" w:eastAsia="source serif 4" w:hAnsi="Aptos" w:cs="source serif 4"/>
          <w:b/>
          <w:color w:val="000000"/>
          <w:sz w:val="20"/>
          <w:szCs w:val="20"/>
        </w:rPr>
        <w:t xml:space="preserve">crisis de </w:t>
      </w:r>
      <w:proofErr w:type="gramStart"/>
      <w:r w:rsidRPr="00BD4906">
        <w:rPr>
          <w:rFonts w:ascii="Aptos" w:eastAsia="source serif 4" w:hAnsi="Aptos" w:cs="source serif 4"/>
          <w:b/>
          <w:color w:val="000000"/>
          <w:sz w:val="20"/>
          <w:szCs w:val="20"/>
        </w:rPr>
        <w:t>legitimación</w:t>
      </w:r>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63072D29"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8" w:name="las_tres_fases_de_investigación_d_1c6c47"/>
    </w:p>
    <w:p w14:paraId="3E135974" w14:textId="3DD65853"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Las tres fases de investigación de la teoría</w:t>
      </w:r>
      <w:bookmarkEnd w:id="18"/>
    </w:p>
    <w:p w14:paraId="075B7A35"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b/>
          <w:color w:val="000000"/>
          <w:sz w:val="20"/>
          <w:szCs w:val="20"/>
        </w:rPr>
        <w:t>Primera fase</w:t>
      </w:r>
      <w:r w:rsidRPr="00BD4906">
        <w:rPr>
          <w:rFonts w:ascii="Aptos" w:eastAsia="source serif 4" w:hAnsi="Aptos" w:cs="source serif 4"/>
          <w:color w:val="000000"/>
          <w:sz w:val="20"/>
          <w:szCs w:val="20"/>
        </w:rPr>
        <w:t xml:space="preserve">: demuestra que la interiorización de la inferioridad ocurre en el mundo real, no solo en laboratorio. El ejemplo paradigmático es el caso de los </w:t>
      </w:r>
      <w:r w:rsidRPr="00BD4906">
        <w:rPr>
          <w:rFonts w:ascii="Aptos" w:eastAsia="source serif 4" w:hAnsi="Aptos" w:cs="source serif 4"/>
          <w:b/>
          <w:color w:val="000000"/>
          <w:sz w:val="20"/>
          <w:szCs w:val="20"/>
        </w:rPr>
        <w:t>italianos del Norte y del Sur</w:t>
      </w:r>
      <w:r w:rsidRPr="00BD4906">
        <w:rPr>
          <w:rFonts w:ascii="Aptos" w:eastAsia="source serif 4" w:hAnsi="Aptos" w:cs="source serif 4"/>
          <w:color w:val="000000"/>
          <w:sz w:val="20"/>
          <w:szCs w:val="20"/>
        </w:rPr>
        <w:t xml:space="preserve">: una encuesta con dos mil participantes mostró que los del Norte presentan alto favoritismo </w:t>
      </w:r>
      <w:proofErr w:type="spellStart"/>
      <w:r w:rsidRPr="00BD4906">
        <w:rPr>
          <w:rFonts w:ascii="Aptos" w:eastAsia="source serif 4" w:hAnsi="Aptos" w:cs="source serif 4"/>
          <w:color w:val="000000"/>
          <w:sz w:val="20"/>
          <w:szCs w:val="20"/>
        </w:rPr>
        <w:t>endogrupal</w:t>
      </w:r>
      <w:proofErr w:type="spellEnd"/>
      <w:r w:rsidRPr="00BD4906">
        <w:rPr>
          <w:rFonts w:ascii="Aptos" w:eastAsia="source serif 4" w:hAnsi="Aptos" w:cs="source serif 4"/>
          <w:color w:val="000000"/>
          <w:sz w:val="20"/>
          <w:szCs w:val="20"/>
        </w:rPr>
        <w:t xml:space="preserve"> (se perciben más honestos, cumplidores de la ley, menos violentos), mientras que los del Sur </w:t>
      </w:r>
      <w:r w:rsidRPr="00BD4906">
        <w:rPr>
          <w:rFonts w:ascii="Aptos" w:eastAsia="source serif 4" w:hAnsi="Aptos" w:cs="source serif 4"/>
          <w:i/>
          <w:color w:val="000000"/>
          <w:sz w:val="20"/>
          <w:szCs w:val="20"/>
        </w:rPr>
        <w:t>coinciden</w:t>
      </w:r>
      <w:r w:rsidRPr="00BD4906">
        <w:rPr>
          <w:rFonts w:ascii="Aptos" w:eastAsia="source serif 4" w:hAnsi="Aptos" w:cs="source serif 4"/>
          <w:color w:val="000000"/>
          <w:sz w:val="20"/>
          <w:szCs w:val="20"/>
        </w:rPr>
        <w:t xml:space="preserve"> con esas evaluaciones y muestran favoritismo hacia el exogrupo (los del Norte</w:t>
      </w:r>
      <w:proofErr w:type="gramStart"/>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5B6BE62B"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b/>
          <w:color w:val="000000"/>
          <w:sz w:val="20"/>
          <w:szCs w:val="20"/>
        </w:rPr>
        <w:t>Segunda fase</w:t>
      </w:r>
      <w:r w:rsidRPr="00BD4906">
        <w:rPr>
          <w:rFonts w:ascii="Aptos" w:eastAsia="source serif 4" w:hAnsi="Aptos" w:cs="source serif 4"/>
          <w:color w:val="000000"/>
          <w:sz w:val="20"/>
          <w:szCs w:val="20"/>
        </w:rPr>
        <w:t xml:space="preserve">: demuestra que los estereotipos sirven para legitimar el sistema. En un estudio sobre estadounidenses del Norte (más competitivos, productivos, dominantes) y del Sur (más religiosos, amigables, tradicionales), quienes respondían preguntas sobre legitimidad de las diferencias de estatus </w:t>
      </w:r>
      <w:r w:rsidRPr="00BD4906">
        <w:rPr>
          <w:rFonts w:ascii="Aptos" w:eastAsia="source serif 4" w:hAnsi="Aptos" w:cs="source serif 4"/>
          <w:i/>
          <w:color w:val="000000"/>
          <w:sz w:val="20"/>
          <w:szCs w:val="20"/>
        </w:rPr>
        <w:t>después</w:t>
      </w:r>
      <w:r w:rsidRPr="00BD4906">
        <w:rPr>
          <w:rFonts w:ascii="Aptos" w:eastAsia="source serif 4" w:hAnsi="Aptos" w:cs="source serif 4"/>
          <w:color w:val="000000"/>
          <w:sz w:val="20"/>
          <w:szCs w:val="20"/>
        </w:rPr>
        <w:t xml:space="preserve"> de la tarea estereotipadora percibían las diferencias como más legítimas, más grandes y menos propensas a cambiar que quienes respondían antes. El simple hecho de pensar en los estereotipos incrementó la percepción de legitimidad del sistema jerárquico.[</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5569F22F"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b/>
          <w:color w:val="000000"/>
          <w:sz w:val="20"/>
          <w:szCs w:val="20"/>
        </w:rPr>
        <w:t>Tercera fase</w:t>
      </w:r>
      <w:r w:rsidRPr="00BD4906">
        <w:rPr>
          <w:rFonts w:ascii="Aptos" w:eastAsia="source serif 4" w:hAnsi="Aptos" w:cs="source serif 4"/>
          <w:color w:val="000000"/>
          <w:sz w:val="20"/>
          <w:szCs w:val="20"/>
        </w:rPr>
        <w:t xml:space="preserve">: analiza la </w:t>
      </w:r>
      <w:r w:rsidRPr="00BD4906">
        <w:rPr>
          <w:rFonts w:ascii="Aptos" w:eastAsia="source serif 4" w:hAnsi="Aptos" w:cs="source serif 4"/>
          <w:b/>
          <w:color w:val="000000"/>
          <w:sz w:val="20"/>
          <w:szCs w:val="20"/>
        </w:rPr>
        <w:t>ambivalencia actitudinal</w:t>
      </w:r>
      <w:r w:rsidRPr="00BD4906">
        <w:rPr>
          <w:rFonts w:ascii="Aptos" w:eastAsia="source serif 4" w:hAnsi="Aptos" w:cs="source serif 4"/>
          <w:color w:val="000000"/>
          <w:sz w:val="20"/>
          <w:szCs w:val="20"/>
        </w:rPr>
        <w:t xml:space="preserve"> hacia el propio grupo, medida con escalas unipolares (que permiten atribuir simultáneamente rasgos positivos y negativos a un mismo objeto, a diferencia de las escalas bipolares que fuerzan a elegir un único polo). Se predice y confirma que, cuando los motivos de justificación del sistema se fortalecen, la ambivalencia hacia el </w:t>
      </w:r>
      <w:proofErr w:type="spellStart"/>
      <w:r w:rsidRPr="00BD4906">
        <w:rPr>
          <w:rFonts w:ascii="Aptos" w:eastAsia="source serif 4" w:hAnsi="Aptos" w:cs="source serif 4"/>
          <w:color w:val="000000"/>
          <w:sz w:val="20"/>
          <w:szCs w:val="20"/>
        </w:rPr>
        <w:t>endogrupo</w:t>
      </w:r>
      <w:proofErr w:type="spellEnd"/>
      <w:r w:rsidRPr="00BD4906">
        <w:rPr>
          <w:rFonts w:ascii="Aptos" w:eastAsia="source serif 4" w:hAnsi="Aptos" w:cs="source serif 4"/>
          <w:color w:val="000000"/>
          <w:sz w:val="20"/>
          <w:szCs w:val="20"/>
        </w:rPr>
        <w:t xml:space="preserve"> </w:t>
      </w:r>
      <w:r w:rsidRPr="00BD4906">
        <w:rPr>
          <w:rFonts w:ascii="Aptos" w:eastAsia="source serif 4" w:hAnsi="Aptos" w:cs="source serif 4"/>
          <w:b/>
          <w:color w:val="000000"/>
          <w:sz w:val="20"/>
          <w:szCs w:val="20"/>
        </w:rPr>
        <w:t>aumenta</w:t>
      </w:r>
      <w:r w:rsidRPr="00BD4906">
        <w:rPr>
          <w:rFonts w:ascii="Aptos" w:eastAsia="source serif 4" w:hAnsi="Aptos" w:cs="source serif 4"/>
          <w:color w:val="000000"/>
          <w:sz w:val="20"/>
          <w:szCs w:val="20"/>
        </w:rPr>
        <w:t xml:space="preserve"> en grupos de bajo estatus y </w:t>
      </w:r>
      <w:r w:rsidRPr="00BD4906">
        <w:rPr>
          <w:rFonts w:ascii="Aptos" w:eastAsia="source serif 4" w:hAnsi="Aptos" w:cs="source serif 4"/>
          <w:b/>
          <w:color w:val="000000"/>
          <w:sz w:val="20"/>
          <w:szCs w:val="20"/>
        </w:rPr>
        <w:t>disminuye</w:t>
      </w:r>
      <w:r w:rsidRPr="00BD4906">
        <w:rPr>
          <w:rFonts w:ascii="Aptos" w:eastAsia="source serif 4" w:hAnsi="Aptos" w:cs="source serif 4"/>
          <w:color w:val="000000"/>
          <w:sz w:val="20"/>
          <w:szCs w:val="20"/>
        </w:rPr>
        <w:t xml:space="preserve"> en grupos de alto estatus. En un estudio con una demanda judicial por discriminación de género, las alumnas (grupo de bajo estatus) mostraron ambivalencia correlacionada positivamente con la creencia en un mundo justo y con la orientación a la dominancia social; en los alumnos varones esa correlación no se dio, o fue negativa.[</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644AE5B3"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19" w:name="el_impacto_de_las_estructuras_mac_adc0a8"/>
    </w:p>
    <w:p w14:paraId="5C7CEADC" w14:textId="255C62E6"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El impacto de las estructuras macrosociales</w:t>
      </w:r>
      <w:bookmarkEnd w:id="19"/>
    </w:p>
    <w:p w14:paraId="3F4AE871"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Tres dimensiones estructurales ilustran cómo el contexto macrosocial modula procesos psicosociales concretos:</w:t>
      </w:r>
    </w:p>
    <w:p w14:paraId="37C40DD2" w14:textId="77777777" w:rsidR="008B3B9F" w:rsidRPr="00BD4906" w:rsidRDefault="00000000" w:rsidP="00BD4906">
      <w:pPr>
        <w:spacing w:after="0" w:line="240" w:lineRule="auto"/>
        <w:ind w:left="-30"/>
        <w:rPr>
          <w:rFonts w:ascii="Aptos" w:hAnsi="Aptos"/>
          <w:sz w:val="20"/>
          <w:szCs w:val="20"/>
        </w:rPr>
      </w:pPr>
      <w:bookmarkStart w:id="20" w:name="estructura_de_género"/>
      <w:r w:rsidRPr="00BD4906">
        <w:rPr>
          <w:rFonts w:ascii="Aptos" w:eastAsia="source serif 4" w:hAnsi="Aptos" w:cs="source serif 4"/>
          <w:b/>
          <w:color w:val="000000"/>
          <w:sz w:val="20"/>
          <w:szCs w:val="20"/>
        </w:rPr>
        <w:t>Estructura de género</w:t>
      </w:r>
      <w:bookmarkEnd w:id="20"/>
    </w:p>
    <w:p w14:paraId="7752F1CD"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La dominancia masculina, rasgo estructural asimétrico de la mayoría de las sociedades, genera:</w:t>
      </w:r>
    </w:p>
    <w:p w14:paraId="44132E5F" w14:textId="77777777" w:rsidR="008B3B9F" w:rsidRPr="00BD4906" w:rsidRDefault="00000000" w:rsidP="00BD4906">
      <w:pPr>
        <w:numPr>
          <w:ilvl w:val="0"/>
          <w:numId w:val="9"/>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Sexismo ambivalente</w:t>
      </w:r>
      <w:r w:rsidRPr="00BD4906">
        <w:rPr>
          <w:rFonts w:ascii="Aptos" w:eastAsia="source serif 4" w:hAnsi="Aptos" w:cs="source serif 4"/>
          <w:color w:val="000000"/>
          <w:sz w:val="20"/>
          <w:szCs w:val="20"/>
        </w:rPr>
        <w:t xml:space="preserve"> (Glick y Fiske): combina un componente </w:t>
      </w:r>
      <w:r w:rsidRPr="00BD4906">
        <w:rPr>
          <w:rFonts w:ascii="Aptos" w:eastAsia="source serif 4" w:hAnsi="Aptos" w:cs="source serif 4"/>
          <w:b/>
          <w:color w:val="000000"/>
          <w:sz w:val="20"/>
          <w:szCs w:val="20"/>
        </w:rPr>
        <w:t>hostil</w:t>
      </w:r>
      <w:r w:rsidRPr="00BD4906">
        <w:rPr>
          <w:rFonts w:ascii="Aptos" w:eastAsia="source serif 4" w:hAnsi="Aptos" w:cs="source serif 4"/>
          <w:color w:val="000000"/>
          <w:sz w:val="20"/>
          <w:szCs w:val="20"/>
        </w:rPr>
        <w:t xml:space="preserve"> (basado en la supuesta inferioridad de competencia de las mujeres, que se agudiza en contextos competitivos) con un componente </w:t>
      </w:r>
      <w:r w:rsidRPr="00BD4906">
        <w:rPr>
          <w:rFonts w:ascii="Aptos" w:eastAsia="source serif 4" w:hAnsi="Aptos" w:cs="source serif 4"/>
          <w:b/>
          <w:color w:val="000000"/>
          <w:sz w:val="20"/>
          <w:szCs w:val="20"/>
        </w:rPr>
        <w:t>benevolente</w:t>
      </w:r>
      <w:r w:rsidRPr="00BD4906">
        <w:rPr>
          <w:rFonts w:ascii="Aptos" w:eastAsia="source serif 4" w:hAnsi="Aptos" w:cs="source serif 4"/>
          <w:color w:val="000000"/>
          <w:sz w:val="20"/>
          <w:szCs w:val="20"/>
        </w:rPr>
        <w:t xml:space="preserve"> (paternalismo protector que valora a las mujeres en rasgos afectivos/comunales, pero solo en roles de bajo estatus). Dentro del sexismo hostil se distinguen el "paternalismo dominante" y la "hostilidad heterosexual"; dentro del benevolente, el "paternalismo protector" y la "intimidad heterosexual".[</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2EE6D7BE" w14:textId="77777777" w:rsidR="008B3B9F" w:rsidRPr="00BD4906" w:rsidRDefault="00000000" w:rsidP="00BD4906">
      <w:pPr>
        <w:numPr>
          <w:ilvl w:val="0"/>
          <w:numId w:val="9"/>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Teoría del grupo enmudecido</w:t>
      </w:r>
      <w:r w:rsidRPr="00BD4906">
        <w:rPr>
          <w:rFonts w:ascii="Aptos" w:eastAsia="source serif 4" w:hAnsi="Aptos" w:cs="source serif 4"/>
          <w:color w:val="000000"/>
          <w:sz w:val="20"/>
          <w:szCs w:val="20"/>
        </w:rPr>
        <w:t xml:space="preserve"> (</w:t>
      </w:r>
      <w:proofErr w:type="spellStart"/>
      <w:r w:rsidRPr="00BD4906">
        <w:rPr>
          <w:rFonts w:ascii="Aptos" w:eastAsia="source serif 4" w:hAnsi="Aptos" w:cs="source serif 4"/>
          <w:color w:val="000000"/>
          <w:sz w:val="20"/>
          <w:szCs w:val="20"/>
        </w:rPr>
        <w:t>Ardener</w:t>
      </w:r>
      <w:proofErr w:type="spellEnd"/>
      <w:r w:rsidRPr="00BD4906">
        <w:rPr>
          <w:rFonts w:ascii="Aptos" w:eastAsia="source serif 4" w:hAnsi="Aptos" w:cs="source serif 4"/>
          <w:color w:val="000000"/>
          <w:sz w:val="20"/>
          <w:szCs w:val="20"/>
        </w:rPr>
        <w:t xml:space="preserve"> y </w:t>
      </w:r>
      <w:proofErr w:type="spellStart"/>
      <w:r w:rsidRPr="00BD4906">
        <w:rPr>
          <w:rFonts w:ascii="Aptos" w:eastAsia="source serif 4" w:hAnsi="Aptos" w:cs="source serif 4"/>
          <w:color w:val="000000"/>
          <w:sz w:val="20"/>
          <w:szCs w:val="20"/>
        </w:rPr>
        <w:t>Ardener</w:t>
      </w:r>
      <w:proofErr w:type="spellEnd"/>
      <w:r w:rsidRPr="00BD4906">
        <w:rPr>
          <w:rFonts w:ascii="Aptos" w:eastAsia="source serif 4" w:hAnsi="Aptos" w:cs="source serif 4"/>
          <w:color w:val="000000"/>
          <w:sz w:val="20"/>
          <w:szCs w:val="20"/>
        </w:rPr>
        <w:t xml:space="preserve">; </w:t>
      </w:r>
      <w:proofErr w:type="spellStart"/>
      <w:r w:rsidRPr="00BD4906">
        <w:rPr>
          <w:rFonts w:ascii="Aptos" w:eastAsia="source serif 4" w:hAnsi="Aptos" w:cs="source serif 4"/>
          <w:color w:val="000000"/>
          <w:sz w:val="20"/>
          <w:szCs w:val="20"/>
        </w:rPr>
        <w:t>Kramarae</w:t>
      </w:r>
      <w:proofErr w:type="spellEnd"/>
      <w:r w:rsidRPr="00BD4906">
        <w:rPr>
          <w:rFonts w:ascii="Aptos" w:eastAsia="source serif 4" w:hAnsi="Aptos" w:cs="source serif 4"/>
          <w:color w:val="000000"/>
          <w:sz w:val="20"/>
          <w:szCs w:val="20"/>
        </w:rPr>
        <w:t>, 1981): dado que el lenguaje fue históricamente estructurado por el grupo dominante (los hombres), las mujeres deben describir sus experiencias con un lenguaje ajeno, lo que limita su elocuencia y representación pública. Se sustenta en tres presupuestos: la división del trabajo genera percepciones diferentes del mundo; la dominación política masculina da preeminencia a sus experiencias; y las mujeres deben "traducir" su discurso al hablar en público.[</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68EF56B5" w14:textId="77777777" w:rsidR="008B3B9F" w:rsidRPr="00BD4906" w:rsidRDefault="00000000" w:rsidP="00BD4906">
      <w:pPr>
        <w:spacing w:after="0" w:line="240" w:lineRule="auto"/>
        <w:ind w:left="-30"/>
        <w:rPr>
          <w:rFonts w:ascii="Aptos" w:hAnsi="Aptos"/>
          <w:sz w:val="20"/>
          <w:szCs w:val="20"/>
        </w:rPr>
      </w:pPr>
      <w:bookmarkStart w:id="21" w:name="impacto_de_la_clase_social"/>
      <w:r w:rsidRPr="00BD4906">
        <w:rPr>
          <w:rFonts w:ascii="Aptos" w:eastAsia="source serif 4" w:hAnsi="Aptos" w:cs="source serif 4"/>
          <w:b/>
          <w:color w:val="000000"/>
          <w:sz w:val="20"/>
          <w:szCs w:val="20"/>
        </w:rPr>
        <w:t>Impacto de la clase social</w:t>
      </w:r>
      <w:bookmarkEnd w:id="21"/>
    </w:p>
    <w:p w14:paraId="40DE50EB" w14:textId="77777777" w:rsidR="008B3B9F" w:rsidRPr="00BD4906" w:rsidRDefault="00000000" w:rsidP="00BD4906">
      <w:pPr>
        <w:numPr>
          <w:ilvl w:val="0"/>
          <w:numId w:val="10"/>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lastRenderedPageBreak/>
        <w:t>Caso Huracán Katrina</w:t>
      </w:r>
      <w:r w:rsidRPr="00BD4906">
        <w:rPr>
          <w:rFonts w:ascii="Aptos" w:eastAsia="source serif 4" w:hAnsi="Aptos" w:cs="source serif 4"/>
          <w:color w:val="000000"/>
          <w:sz w:val="20"/>
          <w:szCs w:val="20"/>
        </w:rPr>
        <w:t xml:space="preserve"> (O'Brien, 2005): la supervivencia y la preservación de redes de apoyo psicológico dependieron directamente de la riqueza y los recursos disponibles; las personas de clase media y alta pudieron evacuarse gracias a redes fuera de la zona afectada.[</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2BD3282E" w14:textId="77777777" w:rsidR="008B3B9F" w:rsidRPr="00BD4906" w:rsidRDefault="00000000" w:rsidP="00BD4906">
      <w:pPr>
        <w:numPr>
          <w:ilvl w:val="0"/>
          <w:numId w:val="10"/>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Creencia en un mundo justo y estudiantes latinos</w:t>
      </w:r>
      <w:r w:rsidRPr="00BD4906">
        <w:rPr>
          <w:rFonts w:ascii="Aptos" w:eastAsia="source serif 4" w:hAnsi="Aptos" w:cs="source serif 4"/>
          <w:color w:val="000000"/>
          <w:sz w:val="20"/>
          <w:szCs w:val="20"/>
        </w:rPr>
        <w:t xml:space="preserve">: en estudiantes universitarios latinos de bajo estatus, el signo de la relación entre creencia en un mundo justo y bienestar dependía del grado de identificación grupal: en quienes tenían baja identificación, la creencia correlacionaba positivamente con el bienestar; en quienes tenían alta identificación, correlacionaba </w:t>
      </w:r>
      <w:r w:rsidRPr="00BD4906">
        <w:rPr>
          <w:rFonts w:ascii="Aptos" w:eastAsia="source serif 4" w:hAnsi="Aptos" w:cs="source serif 4"/>
          <w:b/>
          <w:color w:val="000000"/>
          <w:sz w:val="20"/>
          <w:szCs w:val="20"/>
        </w:rPr>
        <w:t>negativamente</w:t>
      </w:r>
      <w:r w:rsidRPr="00BD4906">
        <w:rPr>
          <w:rFonts w:ascii="Aptos" w:eastAsia="source serif 4" w:hAnsi="Aptos" w:cs="source serif 4"/>
          <w:color w:val="000000"/>
          <w:sz w:val="20"/>
          <w:szCs w:val="20"/>
        </w:rPr>
        <w:t>. Esto cuestiona la homogeneidad asumida en categorías étnicas amplias, dado que las diferencias de clase dentro del grupo latino resultaron marcadas.[</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p w14:paraId="5EB93A43" w14:textId="77777777" w:rsidR="008B3B9F" w:rsidRPr="00BD4906" w:rsidRDefault="00000000" w:rsidP="00BD4906">
      <w:pPr>
        <w:spacing w:after="0" w:line="240" w:lineRule="auto"/>
        <w:ind w:left="-30"/>
        <w:rPr>
          <w:rFonts w:ascii="Aptos" w:hAnsi="Aptos"/>
          <w:sz w:val="20"/>
          <w:szCs w:val="20"/>
        </w:rPr>
      </w:pPr>
      <w:bookmarkStart w:id="22" w:name="cultura_e_interacción"/>
      <w:r w:rsidRPr="00BD4906">
        <w:rPr>
          <w:rFonts w:ascii="Aptos" w:eastAsia="source serif 4" w:hAnsi="Aptos" w:cs="source serif 4"/>
          <w:b/>
          <w:color w:val="000000"/>
          <w:sz w:val="20"/>
          <w:szCs w:val="20"/>
        </w:rPr>
        <w:t>Cultura e interacción</w:t>
      </w:r>
      <w:bookmarkEnd w:id="22"/>
    </w:p>
    <w:p w14:paraId="02FCF61C"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El caso de </w:t>
      </w:r>
      <w:r w:rsidRPr="00BD4906">
        <w:rPr>
          <w:rFonts w:ascii="Aptos" w:eastAsia="source serif 4" w:hAnsi="Aptos" w:cs="source serif 4"/>
          <w:b/>
          <w:color w:val="000000"/>
          <w:sz w:val="20"/>
          <w:szCs w:val="20"/>
        </w:rPr>
        <w:t>Chan Chi Lok</w:t>
      </w:r>
      <w:r w:rsidRPr="00BD4906">
        <w:rPr>
          <w:rFonts w:ascii="Aptos" w:eastAsia="source serif 4" w:hAnsi="Aptos" w:cs="source serif 4"/>
          <w:color w:val="000000"/>
          <w:sz w:val="20"/>
          <w:szCs w:val="20"/>
        </w:rPr>
        <w:t xml:space="preserve"> (estudiante de Hong Kong) y la </w:t>
      </w:r>
      <w:r w:rsidRPr="00BD4906">
        <w:rPr>
          <w:rFonts w:ascii="Aptos" w:eastAsia="source serif 4" w:hAnsi="Aptos" w:cs="source serif 4"/>
          <w:b/>
          <w:color w:val="000000"/>
          <w:sz w:val="20"/>
          <w:szCs w:val="20"/>
        </w:rPr>
        <w:t>Sra. Robertson</w:t>
      </w:r>
      <w:r w:rsidRPr="00BD4906">
        <w:rPr>
          <w:rFonts w:ascii="Aptos" w:eastAsia="source serif 4" w:hAnsi="Aptos" w:cs="source serif 4"/>
          <w:color w:val="000000"/>
          <w:sz w:val="20"/>
          <w:szCs w:val="20"/>
        </w:rPr>
        <w:t xml:space="preserve"> (profesora anglosajona) ilustra un conflicto interpersonal generado por incomprensión cultural: la puntualidad, valor central en la cultura anglosajona, chocó con pautas de cortesía, interdependencia colectiva y búsqueda de empatía propias de la cultura china (invitar a una fiesta, mencionar dificultades compartidas con compañeros, justificar ausencias por deberes familiares). Cada intento de acercamiento de Chan fue reinterpretado negativamente por la profesora, generando un desenlace de fracaso mutuo por desconocimiento de las normas culturales del otro.[</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40E4807C"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23" w:name="las_nueve_interconexiones_de_stan_29f715"/>
    </w:p>
    <w:p w14:paraId="3D7A3483" w14:textId="285ADD32"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 xml:space="preserve">Las nueve interconexiones de </w:t>
      </w:r>
      <w:proofErr w:type="spellStart"/>
      <w:r w:rsidRPr="00BD4906">
        <w:rPr>
          <w:rFonts w:ascii="Aptos" w:eastAsia="source serif 4" w:hAnsi="Aptos" w:cs="source serif 4"/>
          <w:b/>
          <w:color w:val="000000"/>
          <w:sz w:val="20"/>
          <w:szCs w:val="20"/>
        </w:rPr>
        <w:t>Stangor</w:t>
      </w:r>
      <w:proofErr w:type="spellEnd"/>
      <w:r w:rsidRPr="00BD4906">
        <w:rPr>
          <w:rFonts w:ascii="Aptos" w:eastAsia="source serif 4" w:hAnsi="Aptos" w:cs="source serif 4"/>
          <w:b/>
          <w:color w:val="000000"/>
          <w:sz w:val="20"/>
          <w:szCs w:val="20"/>
        </w:rPr>
        <w:t xml:space="preserve"> y </w:t>
      </w:r>
      <w:proofErr w:type="spellStart"/>
      <w:r w:rsidRPr="00BD4906">
        <w:rPr>
          <w:rFonts w:ascii="Aptos" w:eastAsia="source serif 4" w:hAnsi="Aptos" w:cs="source serif 4"/>
          <w:b/>
          <w:color w:val="000000"/>
          <w:sz w:val="20"/>
          <w:szCs w:val="20"/>
        </w:rPr>
        <w:t>Jost</w:t>
      </w:r>
      <w:proofErr w:type="spellEnd"/>
      <w:r w:rsidRPr="00BD4906">
        <w:rPr>
          <w:rFonts w:ascii="Aptos" w:eastAsia="source serif 4" w:hAnsi="Aptos" w:cs="source serif 4"/>
          <w:b/>
          <w:color w:val="000000"/>
          <w:sz w:val="20"/>
          <w:szCs w:val="20"/>
        </w:rPr>
        <w:t xml:space="preserve"> (1997)</w:t>
      </w:r>
      <w:bookmarkEnd w:id="23"/>
    </w:p>
    <w:p w14:paraId="143D631B" w14:textId="77777777" w:rsidR="008B3B9F" w:rsidRPr="00BD4906" w:rsidRDefault="00000000" w:rsidP="00BD4906">
      <w:pPr>
        <w:spacing w:after="0" w:line="240" w:lineRule="auto"/>
        <w:rPr>
          <w:rFonts w:ascii="Aptos" w:hAnsi="Aptos"/>
          <w:sz w:val="20"/>
          <w:szCs w:val="20"/>
        </w:rPr>
      </w:pPr>
      <w:proofErr w:type="spellStart"/>
      <w:r w:rsidRPr="00BD4906">
        <w:rPr>
          <w:rFonts w:ascii="Aptos" w:eastAsia="source serif 4" w:hAnsi="Aptos" w:cs="source serif 4"/>
          <w:color w:val="000000"/>
          <w:sz w:val="20"/>
          <w:szCs w:val="20"/>
        </w:rPr>
        <w:t>Stangor</w:t>
      </w:r>
      <w:proofErr w:type="spellEnd"/>
      <w:r w:rsidRPr="00BD4906">
        <w:rPr>
          <w:rFonts w:ascii="Aptos" w:eastAsia="source serif 4" w:hAnsi="Aptos" w:cs="source serif 4"/>
          <w:color w:val="000000"/>
          <w:sz w:val="20"/>
          <w:szCs w:val="20"/>
        </w:rPr>
        <w:t xml:space="preserve"> y </w:t>
      </w:r>
      <w:proofErr w:type="spellStart"/>
      <w:r w:rsidRPr="00BD4906">
        <w:rPr>
          <w:rFonts w:ascii="Aptos" w:eastAsia="source serif 4" w:hAnsi="Aptos" w:cs="source serif 4"/>
          <w:color w:val="000000"/>
          <w:sz w:val="20"/>
          <w:szCs w:val="20"/>
        </w:rPr>
        <w:t>Jost</w:t>
      </w:r>
      <w:proofErr w:type="spellEnd"/>
      <w:r w:rsidRPr="00BD4906">
        <w:rPr>
          <w:rFonts w:ascii="Aptos" w:eastAsia="source serif 4" w:hAnsi="Aptos" w:cs="source serif 4"/>
          <w:color w:val="000000"/>
          <w:sz w:val="20"/>
          <w:szCs w:val="20"/>
        </w:rPr>
        <w:t xml:space="preserve"> proponen un marco analítico según el cual la Psicología Social estudia un entramado de relaciones mutuas entre el </w:t>
      </w:r>
      <w:r w:rsidRPr="00BD4906">
        <w:rPr>
          <w:rFonts w:ascii="Aptos" w:eastAsia="source serif 4" w:hAnsi="Aptos" w:cs="source serif 4"/>
          <w:b/>
          <w:color w:val="000000"/>
          <w:sz w:val="20"/>
          <w:szCs w:val="20"/>
        </w:rPr>
        <w:t>Individuo</w:t>
      </w:r>
      <w:r w:rsidRPr="00BD4906">
        <w:rPr>
          <w:rFonts w:ascii="Aptos" w:eastAsia="source serif 4" w:hAnsi="Aptos" w:cs="source serif 4"/>
          <w:color w:val="000000"/>
          <w:sz w:val="20"/>
          <w:szCs w:val="20"/>
        </w:rPr>
        <w:t xml:space="preserve">, el </w:t>
      </w:r>
      <w:r w:rsidRPr="00BD4906">
        <w:rPr>
          <w:rFonts w:ascii="Aptos" w:eastAsia="source serif 4" w:hAnsi="Aptos" w:cs="source serif 4"/>
          <w:b/>
          <w:color w:val="000000"/>
          <w:sz w:val="20"/>
          <w:szCs w:val="20"/>
        </w:rPr>
        <w:t>Grupo</w:t>
      </w:r>
      <w:r w:rsidRPr="00BD4906">
        <w:rPr>
          <w:rFonts w:ascii="Aptos" w:eastAsia="source serif 4" w:hAnsi="Aptos" w:cs="source serif 4"/>
          <w:color w:val="000000"/>
          <w:sz w:val="20"/>
          <w:szCs w:val="20"/>
        </w:rPr>
        <w:t xml:space="preserve"> y el </w:t>
      </w:r>
      <w:r w:rsidRPr="00BD4906">
        <w:rPr>
          <w:rFonts w:ascii="Aptos" w:eastAsia="source serif 4" w:hAnsi="Aptos" w:cs="source serif 4"/>
          <w:b/>
          <w:color w:val="000000"/>
          <w:sz w:val="20"/>
          <w:szCs w:val="20"/>
        </w:rPr>
        <w:t>Sistema Social</w:t>
      </w:r>
      <w:r w:rsidRPr="00BD4906">
        <w:rPr>
          <w:rFonts w:ascii="Aptos" w:eastAsia="source serif 4" w:hAnsi="Aptos" w:cs="source serif 4"/>
          <w:color w:val="000000"/>
          <w:sz w:val="20"/>
          <w:szCs w:val="20"/>
        </w:rPr>
        <w:t>, distinguiendo teóricamente nueve tipos de interconexiones (aunque en la práctica suelen presentarse combinadas):[</w:t>
      </w:r>
      <w:r w:rsidRPr="00BD4906">
        <w:rPr>
          <w:rFonts w:ascii="Aptos" w:eastAsia="source serif 4" w:hAnsi="Aptos" w:cs="source serif 4"/>
          <w:color w:val="000000"/>
          <w:sz w:val="20"/>
          <w:szCs w:val="20"/>
          <w:vertAlign w:val="superscript"/>
        </w:rPr>
        <w:t>2][</w:t>
      </w:r>
      <w:r w:rsidRPr="00BD4906">
        <w:rPr>
          <w:rFonts w:ascii="Aptos" w:eastAsia="source serif 4" w:hAnsi="Aptos" w:cs="source serif 4"/>
          <w:color w:val="000000"/>
          <w:sz w:val="20"/>
          <w:szCs w:val="20"/>
        </w:rPr>
        <w:t>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35"/>
        <w:gridCol w:w="1783"/>
        <w:gridCol w:w="7286"/>
      </w:tblGrid>
      <w:tr w:rsidR="008B3B9F" w:rsidRPr="00BD4906" w14:paraId="05E1E0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0FC14D"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w:t>
            </w:r>
          </w:p>
        </w:tc>
        <w:tc>
          <w:tcPr>
            <w:tcW w:w="0" w:type="auto"/>
            <w:tcBorders>
              <w:top w:val="single" w:sz="1" w:space="0" w:color="000000"/>
              <w:bottom w:val="single" w:sz="1" w:space="0" w:color="000000"/>
              <w:right w:val="single" w:sz="1" w:space="0" w:color="000000"/>
            </w:tcBorders>
          </w:tcPr>
          <w:p w14:paraId="01776D2F"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Interconexión</w:t>
            </w:r>
          </w:p>
        </w:tc>
        <w:tc>
          <w:tcPr>
            <w:tcW w:w="0" w:type="auto"/>
            <w:tcBorders>
              <w:top w:val="single" w:sz="1" w:space="0" w:color="000000"/>
              <w:bottom w:val="single" w:sz="1" w:space="0" w:color="000000"/>
            </w:tcBorders>
          </w:tcPr>
          <w:p w14:paraId="5DA45F1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Ejemplo ilustrativo</w:t>
            </w:r>
          </w:p>
        </w:tc>
      </w:tr>
      <w:tr w:rsidR="008B3B9F" w:rsidRPr="00BD4906" w14:paraId="1696E3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7B360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1</w:t>
            </w:r>
          </w:p>
        </w:tc>
        <w:tc>
          <w:tcPr>
            <w:tcW w:w="0" w:type="auto"/>
            <w:tcBorders>
              <w:top w:val="single" w:sz="1" w:space="0" w:color="000000"/>
              <w:bottom w:val="single" w:sz="1" w:space="0" w:color="000000"/>
              <w:right w:val="single" w:sz="1" w:space="0" w:color="000000"/>
            </w:tcBorders>
          </w:tcPr>
          <w:p w14:paraId="22D38A0C"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Individuo → Individual</w:t>
            </w:r>
          </w:p>
        </w:tc>
        <w:tc>
          <w:tcPr>
            <w:tcW w:w="0" w:type="auto"/>
            <w:tcBorders>
              <w:top w:val="single" w:sz="1" w:space="0" w:color="000000"/>
              <w:bottom w:val="single" w:sz="1" w:space="0" w:color="000000"/>
            </w:tcBorders>
          </w:tcPr>
          <w:p w14:paraId="2863C55A" w14:textId="77777777" w:rsidR="008B3B9F" w:rsidRPr="00BD4906" w:rsidRDefault="00000000" w:rsidP="00BD4906">
            <w:pPr>
              <w:rPr>
                <w:rFonts w:ascii="Aptos" w:hAnsi="Aptos"/>
                <w:sz w:val="20"/>
                <w:szCs w:val="20"/>
              </w:rPr>
            </w:pPr>
            <w:proofErr w:type="spellStart"/>
            <w:r w:rsidRPr="00BD4906">
              <w:rPr>
                <w:rFonts w:ascii="Aptos" w:eastAsia="source sans 3" w:hAnsi="Aptos" w:cs="source sans 3"/>
                <w:color w:val="000000"/>
                <w:sz w:val="20"/>
                <w:szCs w:val="20"/>
              </w:rPr>
              <w:t>Autoensalzamiento</w:t>
            </w:r>
            <w:proofErr w:type="spellEnd"/>
            <w:r w:rsidRPr="00BD4906">
              <w:rPr>
                <w:rFonts w:ascii="Aptos" w:eastAsia="source sans 3" w:hAnsi="Aptos" w:cs="source sans 3"/>
                <w:color w:val="000000"/>
                <w:sz w:val="20"/>
                <w:szCs w:val="20"/>
              </w:rPr>
              <w:t xml:space="preserve"> genera sesgo atributivo egoísta (éxitos propios, fracasos </w:t>
            </w:r>
            <w:proofErr w:type="gramStart"/>
            <w:r w:rsidRPr="00BD4906">
              <w:rPr>
                <w:rFonts w:ascii="Aptos" w:eastAsia="source sans 3" w:hAnsi="Aptos" w:cs="source sans 3"/>
                <w:color w:val="000000"/>
                <w:sz w:val="20"/>
                <w:szCs w:val="20"/>
              </w:rPr>
              <w:t>externos)[</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4F3DD1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93AC13"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2</w:t>
            </w:r>
          </w:p>
        </w:tc>
        <w:tc>
          <w:tcPr>
            <w:tcW w:w="0" w:type="auto"/>
            <w:tcBorders>
              <w:top w:val="single" w:sz="1" w:space="0" w:color="000000"/>
              <w:bottom w:val="single" w:sz="1" w:space="0" w:color="000000"/>
              <w:right w:val="single" w:sz="1" w:space="0" w:color="000000"/>
            </w:tcBorders>
          </w:tcPr>
          <w:p w14:paraId="7D3D14E3"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Individuo → Grupal</w:t>
            </w:r>
          </w:p>
        </w:tc>
        <w:tc>
          <w:tcPr>
            <w:tcW w:w="0" w:type="auto"/>
            <w:tcBorders>
              <w:top w:val="single" w:sz="1" w:space="0" w:color="000000"/>
              <w:bottom w:val="single" w:sz="1" w:space="0" w:color="000000"/>
            </w:tcBorders>
          </w:tcPr>
          <w:p w14:paraId="2B574D5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Estereotipos concebidos como sesgos cognitivos individuales en la percepción de </w:t>
            </w:r>
            <w:proofErr w:type="gramStart"/>
            <w:r w:rsidRPr="00BD4906">
              <w:rPr>
                <w:rFonts w:ascii="Aptos" w:eastAsia="source sans 3" w:hAnsi="Aptos" w:cs="source sans 3"/>
                <w:color w:val="000000"/>
                <w:sz w:val="20"/>
                <w:szCs w:val="20"/>
              </w:rPr>
              <w:t>grupos[</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7526DA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A85F3B"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3</w:t>
            </w:r>
          </w:p>
        </w:tc>
        <w:tc>
          <w:tcPr>
            <w:tcW w:w="0" w:type="auto"/>
            <w:tcBorders>
              <w:top w:val="single" w:sz="1" w:space="0" w:color="000000"/>
              <w:bottom w:val="single" w:sz="1" w:space="0" w:color="000000"/>
              <w:right w:val="single" w:sz="1" w:space="0" w:color="000000"/>
            </w:tcBorders>
          </w:tcPr>
          <w:p w14:paraId="035A1568"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Individuo → Macrosocial</w:t>
            </w:r>
          </w:p>
        </w:tc>
        <w:tc>
          <w:tcPr>
            <w:tcW w:w="0" w:type="auto"/>
            <w:tcBorders>
              <w:top w:val="single" w:sz="1" w:space="0" w:color="000000"/>
              <w:bottom w:val="single" w:sz="1" w:space="0" w:color="000000"/>
            </w:tcBorders>
          </w:tcPr>
          <w:p w14:paraId="31F3E863"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Creencia personal en un "mundo justo" (Lerner); obediencia individual a las leyes (Tyler</w:t>
            </w:r>
            <w:proofErr w:type="gramStart"/>
            <w:r w:rsidRPr="00BD4906">
              <w:rPr>
                <w:rFonts w:ascii="Aptos" w:eastAsia="source sans 3" w:hAnsi="Aptos" w:cs="source sans 3"/>
                <w:color w:val="000000"/>
                <w:sz w:val="20"/>
                <w:szCs w:val="20"/>
              </w:rPr>
              <w:t>)[</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2516A3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A7DD6D"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4</w:t>
            </w:r>
          </w:p>
        </w:tc>
        <w:tc>
          <w:tcPr>
            <w:tcW w:w="0" w:type="auto"/>
            <w:tcBorders>
              <w:top w:val="single" w:sz="1" w:space="0" w:color="000000"/>
              <w:bottom w:val="single" w:sz="1" w:space="0" w:color="000000"/>
              <w:right w:val="single" w:sz="1" w:space="0" w:color="000000"/>
            </w:tcBorders>
          </w:tcPr>
          <w:p w14:paraId="38E689D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Grupo → Individual</w:t>
            </w:r>
          </w:p>
        </w:tc>
        <w:tc>
          <w:tcPr>
            <w:tcW w:w="0" w:type="auto"/>
            <w:tcBorders>
              <w:top w:val="single" w:sz="1" w:space="0" w:color="000000"/>
              <w:bottom w:val="single" w:sz="1" w:space="0" w:color="000000"/>
            </w:tcBorders>
          </w:tcPr>
          <w:p w14:paraId="7F42146D"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La incorporación a un grupo modifica las creencias estereotípicas individuales, haciéndolas similares a las del </w:t>
            </w:r>
            <w:proofErr w:type="gramStart"/>
            <w:r w:rsidRPr="00BD4906">
              <w:rPr>
                <w:rFonts w:ascii="Aptos" w:eastAsia="source sans 3" w:hAnsi="Aptos" w:cs="source sans 3"/>
                <w:color w:val="000000"/>
                <w:sz w:val="20"/>
                <w:szCs w:val="20"/>
              </w:rPr>
              <w:t>resto[</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283292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842ED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5</w:t>
            </w:r>
          </w:p>
        </w:tc>
        <w:tc>
          <w:tcPr>
            <w:tcW w:w="0" w:type="auto"/>
            <w:tcBorders>
              <w:top w:val="single" w:sz="1" w:space="0" w:color="000000"/>
              <w:bottom w:val="single" w:sz="1" w:space="0" w:color="000000"/>
              <w:right w:val="single" w:sz="1" w:space="0" w:color="000000"/>
            </w:tcBorders>
          </w:tcPr>
          <w:p w14:paraId="1A06EFB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Grupo → Grupal</w:t>
            </w:r>
          </w:p>
        </w:tc>
        <w:tc>
          <w:tcPr>
            <w:tcW w:w="0" w:type="auto"/>
            <w:tcBorders>
              <w:top w:val="single" w:sz="1" w:space="0" w:color="000000"/>
              <w:bottom w:val="single" w:sz="1" w:space="0" w:color="000000"/>
            </w:tcBorders>
          </w:tcPr>
          <w:p w14:paraId="1726024A"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La categorización saliente activa la identidad grupal y genera favoritismo </w:t>
            </w:r>
            <w:proofErr w:type="spellStart"/>
            <w:proofErr w:type="gramStart"/>
            <w:r w:rsidRPr="00BD4906">
              <w:rPr>
                <w:rFonts w:ascii="Aptos" w:eastAsia="source sans 3" w:hAnsi="Aptos" w:cs="source sans 3"/>
                <w:color w:val="000000"/>
                <w:sz w:val="20"/>
                <w:szCs w:val="20"/>
              </w:rPr>
              <w:t>endogrupal</w:t>
            </w:r>
            <w:proofErr w:type="spellEnd"/>
            <w:r w:rsidRPr="00BD4906">
              <w:rPr>
                <w:rFonts w:ascii="Aptos" w:eastAsia="source sans 3" w:hAnsi="Aptos" w:cs="source sans 3"/>
                <w:color w:val="000000"/>
                <w:sz w:val="20"/>
                <w:szCs w:val="20"/>
              </w:rPr>
              <w:t>[</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5B4D56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1A976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6</w:t>
            </w:r>
          </w:p>
        </w:tc>
        <w:tc>
          <w:tcPr>
            <w:tcW w:w="0" w:type="auto"/>
            <w:tcBorders>
              <w:top w:val="single" w:sz="1" w:space="0" w:color="000000"/>
              <w:bottom w:val="single" w:sz="1" w:space="0" w:color="000000"/>
              <w:right w:val="single" w:sz="1" w:space="0" w:color="000000"/>
            </w:tcBorders>
          </w:tcPr>
          <w:p w14:paraId="1230171A"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Grupo → Macrosocial</w:t>
            </w:r>
          </w:p>
        </w:tc>
        <w:tc>
          <w:tcPr>
            <w:tcW w:w="0" w:type="auto"/>
            <w:tcBorders>
              <w:top w:val="single" w:sz="1" w:space="0" w:color="000000"/>
              <w:bottom w:val="single" w:sz="1" w:space="0" w:color="000000"/>
            </w:tcBorders>
          </w:tcPr>
          <w:p w14:paraId="59F3068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Las creencias compartidas grupalmente modulan la justificación de desigualdades colectivas (ej. Augoustinos, </w:t>
            </w:r>
            <w:proofErr w:type="gramStart"/>
            <w:r w:rsidRPr="00BD4906">
              <w:rPr>
                <w:rFonts w:ascii="Aptos" w:eastAsia="source sans 3" w:hAnsi="Aptos" w:cs="source sans 3"/>
                <w:color w:val="000000"/>
                <w:sz w:val="20"/>
                <w:szCs w:val="20"/>
              </w:rPr>
              <w:t>1991)[</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67E1E7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F5E20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7</w:t>
            </w:r>
          </w:p>
        </w:tc>
        <w:tc>
          <w:tcPr>
            <w:tcW w:w="0" w:type="auto"/>
            <w:tcBorders>
              <w:top w:val="single" w:sz="1" w:space="0" w:color="000000"/>
              <w:bottom w:val="single" w:sz="1" w:space="0" w:color="000000"/>
              <w:right w:val="single" w:sz="1" w:space="0" w:color="000000"/>
            </w:tcBorders>
          </w:tcPr>
          <w:p w14:paraId="33EE117F"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Sistema → Individual</w:t>
            </w:r>
          </w:p>
        </w:tc>
        <w:tc>
          <w:tcPr>
            <w:tcW w:w="0" w:type="auto"/>
            <w:tcBorders>
              <w:top w:val="single" w:sz="1" w:space="0" w:color="000000"/>
              <w:bottom w:val="single" w:sz="1" w:space="0" w:color="000000"/>
            </w:tcBorders>
          </w:tcPr>
          <w:p w14:paraId="4F2209E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La "modernización" prioriza el yo individual sobre el colectivo (</w:t>
            </w:r>
            <w:proofErr w:type="spellStart"/>
            <w:r w:rsidRPr="00BD4906">
              <w:rPr>
                <w:rFonts w:ascii="Aptos" w:eastAsia="source sans 3" w:hAnsi="Aptos" w:cs="source sans 3"/>
                <w:color w:val="000000"/>
                <w:sz w:val="20"/>
                <w:szCs w:val="20"/>
              </w:rPr>
              <w:t>Simon</w:t>
            </w:r>
            <w:proofErr w:type="spellEnd"/>
            <w:r w:rsidRPr="00BD4906">
              <w:rPr>
                <w:rFonts w:ascii="Aptos" w:eastAsia="source sans 3" w:hAnsi="Aptos" w:cs="source sans 3"/>
                <w:color w:val="000000"/>
                <w:sz w:val="20"/>
                <w:szCs w:val="20"/>
              </w:rPr>
              <w:t xml:space="preserve">, 1997); pérdida de autoestima en niños afroamericanos por marginación (esposos </w:t>
            </w:r>
            <w:proofErr w:type="gramStart"/>
            <w:r w:rsidRPr="00BD4906">
              <w:rPr>
                <w:rFonts w:ascii="Aptos" w:eastAsia="source sans 3" w:hAnsi="Aptos" w:cs="source sans 3"/>
                <w:color w:val="000000"/>
                <w:sz w:val="20"/>
                <w:szCs w:val="20"/>
              </w:rPr>
              <w:t>Clark)[</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0FA5A4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72C099"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8</w:t>
            </w:r>
          </w:p>
        </w:tc>
        <w:tc>
          <w:tcPr>
            <w:tcW w:w="0" w:type="auto"/>
            <w:tcBorders>
              <w:top w:val="single" w:sz="1" w:space="0" w:color="000000"/>
              <w:bottom w:val="single" w:sz="1" w:space="0" w:color="000000"/>
              <w:right w:val="single" w:sz="1" w:space="0" w:color="000000"/>
            </w:tcBorders>
          </w:tcPr>
          <w:p w14:paraId="2D5388B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Sistema → Grupal</w:t>
            </w:r>
          </w:p>
        </w:tc>
        <w:tc>
          <w:tcPr>
            <w:tcW w:w="0" w:type="auto"/>
            <w:tcBorders>
              <w:top w:val="single" w:sz="1" w:space="0" w:color="000000"/>
              <w:bottom w:val="single" w:sz="1" w:space="0" w:color="000000"/>
            </w:tcBorders>
          </w:tcPr>
          <w:p w14:paraId="78AFE9B4"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La clase trabajadora rechaza políticas redistributivas pese a beneficiarla; estudiantes polacos con alta identificación nacional pero autoimagen desfavorable, ligada al fracaso económico del </w:t>
            </w:r>
            <w:proofErr w:type="gramStart"/>
            <w:r w:rsidRPr="00BD4906">
              <w:rPr>
                <w:rFonts w:ascii="Aptos" w:eastAsia="source sans 3" w:hAnsi="Aptos" w:cs="source sans 3"/>
                <w:color w:val="000000"/>
                <w:sz w:val="20"/>
                <w:szCs w:val="20"/>
              </w:rPr>
              <w:t>país[</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r w:rsidR="008B3B9F" w:rsidRPr="00BD4906" w14:paraId="151864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B0944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9</w:t>
            </w:r>
          </w:p>
        </w:tc>
        <w:tc>
          <w:tcPr>
            <w:tcW w:w="0" w:type="auto"/>
            <w:tcBorders>
              <w:top w:val="single" w:sz="1" w:space="0" w:color="000000"/>
              <w:bottom w:val="single" w:sz="1" w:space="0" w:color="000000"/>
              <w:right w:val="single" w:sz="1" w:space="0" w:color="000000"/>
            </w:tcBorders>
          </w:tcPr>
          <w:p w14:paraId="71365EE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Sistema → Macrosocial</w:t>
            </w:r>
          </w:p>
        </w:tc>
        <w:tc>
          <w:tcPr>
            <w:tcW w:w="0" w:type="auto"/>
            <w:tcBorders>
              <w:top w:val="single" w:sz="1" w:space="0" w:color="000000"/>
              <w:bottom w:val="single" w:sz="1" w:space="0" w:color="000000"/>
            </w:tcBorders>
          </w:tcPr>
          <w:p w14:paraId="4DE2E92E"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Un sistema actúa para mantenerse a sí mismo (ej. la "cultura del honor" y la benevolencia judicial hacia crímenes de honor) o un sistema influye sobre otro (transición de sistema socialista a capitalista en </w:t>
            </w:r>
            <w:proofErr w:type="gramStart"/>
            <w:r w:rsidRPr="00BD4906">
              <w:rPr>
                <w:rFonts w:ascii="Aptos" w:eastAsia="source sans 3" w:hAnsi="Aptos" w:cs="source sans 3"/>
                <w:color w:val="000000"/>
                <w:sz w:val="20"/>
                <w:szCs w:val="20"/>
              </w:rPr>
              <w:t>Polonia)[</w:t>
            </w:r>
            <w:proofErr w:type="gramEnd"/>
            <w:r w:rsidRPr="00BD4906">
              <w:rPr>
                <w:rFonts w:ascii="Aptos" w:eastAsia="source serif 4" w:hAnsi="Aptos" w:cs="source serif 4"/>
                <w:color w:val="000000"/>
                <w:sz w:val="20"/>
                <w:szCs w:val="20"/>
                <w:vertAlign w:val="superscript"/>
              </w:rPr>
              <w:t>1][</w:t>
            </w:r>
            <w:r w:rsidRPr="00BD4906">
              <w:rPr>
                <w:rFonts w:ascii="Aptos" w:eastAsia="source sans 3" w:hAnsi="Aptos" w:cs="source sans 3"/>
                <w:color w:val="000000"/>
                <w:sz w:val="20"/>
                <w:szCs w:val="20"/>
              </w:rPr>
              <w:t>2]</w:t>
            </w:r>
          </w:p>
        </w:tc>
      </w:tr>
    </w:tbl>
    <w:p w14:paraId="63E3A791" w14:textId="77777777" w:rsidR="008B3B9F" w:rsidRPr="00BD4906" w:rsidRDefault="008B3B9F" w:rsidP="00BD4906">
      <w:pPr>
        <w:spacing w:after="0" w:line="240" w:lineRule="auto"/>
        <w:rPr>
          <w:rFonts w:ascii="Aptos" w:hAnsi="Aptos"/>
          <w:sz w:val="20"/>
          <w:szCs w:val="20"/>
        </w:rPr>
      </w:pPr>
    </w:p>
    <w:p w14:paraId="2FA0419D"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lastRenderedPageBreak/>
        <w:t xml:space="preserve">Esta última interconexión (9) es la menos estudiada dentro de la PS, siendo terreno más propio de la Sociología y la Ciencia Política, aunque su impacto sobre la vida de las personas es </w:t>
      </w:r>
      <w:proofErr w:type="gramStart"/>
      <w:r w:rsidRPr="00BD4906">
        <w:rPr>
          <w:rFonts w:ascii="Aptos" w:eastAsia="source serif 4" w:hAnsi="Aptos" w:cs="source serif 4"/>
          <w:color w:val="000000"/>
          <w:sz w:val="20"/>
          <w:szCs w:val="20"/>
        </w:rPr>
        <w:t>profundo.[</w:t>
      </w:r>
      <w:proofErr w:type="gramEnd"/>
      <w:r w:rsidRPr="00BD4906">
        <w:rPr>
          <w:rFonts w:ascii="Aptos" w:eastAsia="source serif 4" w:hAnsi="Aptos" w:cs="source serif 4"/>
          <w:color w:val="000000"/>
          <w:sz w:val="20"/>
          <w:szCs w:val="20"/>
        </w:rPr>
        <w:t>^2]</w:t>
      </w:r>
    </w:p>
    <w:p w14:paraId="45942F1C"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24" w:name="naturaleza_de_los_procesos_y_tipo_9da63e"/>
    </w:p>
    <w:p w14:paraId="3201F901" w14:textId="1921ED2A"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Naturaleza de los procesos y tipos de explicación psicosocial</w:t>
      </w:r>
      <w:bookmarkEnd w:id="24"/>
    </w:p>
    <w:p w14:paraId="10BA7475"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Siguiendo la clasificación tradicional (</w:t>
      </w:r>
      <w:proofErr w:type="spellStart"/>
      <w:r w:rsidRPr="00BD4906">
        <w:rPr>
          <w:rFonts w:ascii="Aptos" w:eastAsia="source serif 4" w:hAnsi="Aptos" w:cs="source serif 4"/>
          <w:color w:val="000000"/>
          <w:sz w:val="20"/>
          <w:szCs w:val="20"/>
        </w:rPr>
        <w:t>Tesser</w:t>
      </w:r>
      <w:proofErr w:type="spellEnd"/>
      <w:r w:rsidRPr="00BD4906">
        <w:rPr>
          <w:rFonts w:ascii="Aptos" w:eastAsia="source serif 4" w:hAnsi="Aptos" w:cs="source serif 4"/>
          <w:color w:val="000000"/>
          <w:sz w:val="20"/>
          <w:szCs w:val="20"/>
        </w:rPr>
        <w:t xml:space="preserve">, 1995; </w:t>
      </w:r>
      <w:proofErr w:type="spellStart"/>
      <w:r w:rsidRPr="00BD4906">
        <w:rPr>
          <w:rFonts w:ascii="Aptos" w:eastAsia="source serif 4" w:hAnsi="Aptos" w:cs="source serif 4"/>
          <w:color w:val="000000"/>
          <w:sz w:val="20"/>
          <w:szCs w:val="20"/>
        </w:rPr>
        <w:t>Stangor</w:t>
      </w:r>
      <w:proofErr w:type="spellEnd"/>
      <w:r w:rsidRPr="00BD4906">
        <w:rPr>
          <w:rFonts w:ascii="Aptos" w:eastAsia="source serif 4" w:hAnsi="Aptos" w:cs="source serif 4"/>
          <w:color w:val="000000"/>
          <w:sz w:val="20"/>
          <w:szCs w:val="20"/>
        </w:rPr>
        <w:t xml:space="preserve"> y </w:t>
      </w:r>
      <w:proofErr w:type="spellStart"/>
      <w:r w:rsidRPr="00BD4906">
        <w:rPr>
          <w:rFonts w:ascii="Aptos" w:eastAsia="source serif 4" w:hAnsi="Aptos" w:cs="source serif 4"/>
          <w:color w:val="000000"/>
          <w:sz w:val="20"/>
          <w:szCs w:val="20"/>
        </w:rPr>
        <w:t>Jost</w:t>
      </w:r>
      <w:proofErr w:type="spellEnd"/>
      <w:r w:rsidRPr="00BD4906">
        <w:rPr>
          <w:rFonts w:ascii="Aptos" w:eastAsia="source serif 4" w:hAnsi="Aptos" w:cs="source serif 4"/>
          <w:color w:val="000000"/>
          <w:sz w:val="20"/>
          <w:szCs w:val="20"/>
        </w:rPr>
        <w:t xml:space="preserve">, 1997), corresponden también tres tipos de </w:t>
      </w:r>
      <w:r w:rsidRPr="00BD4906">
        <w:rPr>
          <w:rFonts w:ascii="Aptos" w:eastAsia="source serif 4" w:hAnsi="Aptos" w:cs="source serif 4"/>
          <w:b/>
          <w:color w:val="000000"/>
          <w:sz w:val="20"/>
          <w:szCs w:val="20"/>
        </w:rPr>
        <w:t>explicaciones</w:t>
      </w:r>
      <w:r w:rsidRPr="00BD4906">
        <w:rPr>
          <w:rFonts w:ascii="Aptos" w:eastAsia="source serif 4" w:hAnsi="Aptos" w:cs="source serif 4"/>
          <w:color w:val="000000"/>
          <w:sz w:val="20"/>
          <w:szCs w:val="20"/>
        </w:rPr>
        <w:t xml:space="preserve"> psicosociales según la naturaleza del proceso analizado:</w:t>
      </w:r>
    </w:p>
    <w:p w14:paraId="5C125EDB" w14:textId="77777777" w:rsidR="008B3B9F" w:rsidRPr="00BD4906" w:rsidRDefault="00000000" w:rsidP="00BD4906">
      <w:pPr>
        <w:numPr>
          <w:ilvl w:val="0"/>
          <w:numId w:val="11"/>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Explicaciones centradas en el individuo</w:t>
      </w:r>
      <w:r w:rsidRPr="00BD4906">
        <w:rPr>
          <w:rFonts w:ascii="Aptos" w:eastAsia="source serif 4" w:hAnsi="Aptos" w:cs="source serif 4"/>
          <w:color w:val="000000"/>
          <w:sz w:val="20"/>
          <w:szCs w:val="20"/>
        </w:rPr>
        <w:t>: recurren a propiedades únicas de la persona (ej. la teoría de la Personalidad Autoritaria para explicar el prejuicio</w:t>
      </w:r>
      <w:proofErr w:type="gramStart"/>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47CDD3CC" w14:textId="77777777" w:rsidR="008B3B9F" w:rsidRPr="00BD4906" w:rsidRDefault="00000000" w:rsidP="00BD4906">
      <w:pPr>
        <w:numPr>
          <w:ilvl w:val="0"/>
          <w:numId w:val="11"/>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Explicaciones centradas en el grupo</w:t>
      </w:r>
      <w:r w:rsidRPr="00BD4906">
        <w:rPr>
          <w:rFonts w:ascii="Aptos" w:eastAsia="source serif 4" w:hAnsi="Aptos" w:cs="source serif 4"/>
          <w:color w:val="000000"/>
          <w:sz w:val="20"/>
          <w:szCs w:val="20"/>
        </w:rPr>
        <w:t>: recurren a la conducta grupal y creencias sociales compartidas (ej. la Teoría de la Identidad Social aplicada al prejuicio</w:t>
      </w:r>
      <w:proofErr w:type="gramStart"/>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3E430397" w14:textId="77777777" w:rsidR="008B3B9F" w:rsidRPr="00BD4906" w:rsidRDefault="00000000" w:rsidP="00BD4906">
      <w:pPr>
        <w:numPr>
          <w:ilvl w:val="0"/>
          <w:numId w:val="11"/>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Explicaciones centradas en procesos macrosociales o "sistémicos"</w:t>
      </w:r>
      <w:r w:rsidRPr="00BD4906">
        <w:rPr>
          <w:rFonts w:ascii="Aptos" w:eastAsia="source serif 4" w:hAnsi="Aptos" w:cs="source serif 4"/>
          <w:color w:val="000000"/>
          <w:sz w:val="20"/>
          <w:szCs w:val="20"/>
        </w:rPr>
        <w:t>: recurren a estructuras asimétricas globales (ej. la dominancia masculina como origen del sexismo y del grupo enmudecido; sistemas económicos jerárquicos que generan marginación</w:t>
      </w:r>
      <w:proofErr w:type="gramStart"/>
      <w:r w:rsidRPr="00BD4906">
        <w:rPr>
          <w:rFonts w:ascii="Aptos" w:eastAsia="source serif 4" w:hAnsi="Aptos" w:cs="source serif 4"/>
          <w:color w:val="000000"/>
          <w:sz w:val="20"/>
          <w:szCs w:val="20"/>
        </w:rPr>
        <w:t>).[</w:t>
      </w:r>
      <w:proofErr w:type="gramEnd"/>
      <w:r w:rsidRPr="00BD4906">
        <w:rPr>
          <w:rFonts w:ascii="Aptos" w:eastAsia="source serif 4" w:hAnsi="Aptos" w:cs="source serif 4"/>
          <w:color w:val="000000"/>
          <w:sz w:val="20"/>
          <w:szCs w:val="20"/>
        </w:rPr>
        <w:t>^2]</w:t>
      </w:r>
    </w:p>
    <w:p w14:paraId="13B60960"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25" w:name="métodos_de_investigación_en_psico_52068e"/>
    </w:p>
    <w:p w14:paraId="2BED8076" w14:textId="60E0309E"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Métodos de investigación en Psicología Social</w:t>
      </w:r>
      <w:bookmarkEnd w:id="25"/>
    </w:p>
    <w:p w14:paraId="51660915"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La disciplina emplea tres métodos empíricos complementarios, cada uno respondiendo a una pregunta diferente: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54"/>
        <w:gridCol w:w="1888"/>
        <w:gridCol w:w="2152"/>
        <w:gridCol w:w="1821"/>
        <w:gridCol w:w="1989"/>
      </w:tblGrid>
      <w:tr w:rsidR="008B3B9F" w:rsidRPr="00BD4906" w14:paraId="2F4DB2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7738C7"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Método</w:t>
            </w:r>
          </w:p>
        </w:tc>
        <w:tc>
          <w:tcPr>
            <w:tcW w:w="0" w:type="auto"/>
            <w:tcBorders>
              <w:top w:val="single" w:sz="1" w:space="0" w:color="000000"/>
              <w:bottom w:val="single" w:sz="1" w:space="0" w:color="000000"/>
              <w:right w:val="single" w:sz="1" w:space="0" w:color="000000"/>
            </w:tcBorders>
          </w:tcPr>
          <w:p w14:paraId="42CA157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Pregunta que responde</w:t>
            </w:r>
          </w:p>
        </w:tc>
        <w:tc>
          <w:tcPr>
            <w:tcW w:w="0" w:type="auto"/>
            <w:tcBorders>
              <w:top w:val="single" w:sz="1" w:space="0" w:color="000000"/>
              <w:bottom w:val="single" w:sz="1" w:space="0" w:color="000000"/>
              <w:right w:val="single" w:sz="1" w:space="0" w:color="000000"/>
            </w:tcBorders>
          </w:tcPr>
          <w:p w14:paraId="5DA56026"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Técnica</w:t>
            </w:r>
          </w:p>
        </w:tc>
        <w:tc>
          <w:tcPr>
            <w:tcW w:w="0" w:type="auto"/>
            <w:tcBorders>
              <w:top w:val="single" w:sz="1" w:space="0" w:color="000000"/>
              <w:bottom w:val="single" w:sz="1" w:space="0" w:color="000000"/>
              <w:right w:val="single" w:sz="1" w:space="0" w:color="000000"/>
            </w:tcBorders>
          </w:tcPr>
          <w:p w14:paraId="2C66725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Herramientas</w:t>
            </w:r>
          </w:p>
        </w:tc>
        <w:tc>
          <w:tcPr>
            <w:tcW w:w="0" w:type="auto"/>
            <w:tcBorders>
              <w:top w:val="single" w:sz="1" w:space="0" w:color="000000"/>
              <w:bottom w:val="single" w:sz="1" w:space="0" w:color="000000"/>
            </w:tcBorders>
          </w:tcPr>
          <w:p w14:paraId="713C3F1A"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Limitación</w:t>
            </w:r>
          </w:p>
        </w:tc>
      </w:tr>
      <w:tr w:rsidR="008B3B9F" w:rsidRPr="00BD4906" w14:paraId="35BD1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CD2005"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Observacional</w:t>
            </w:r>
          </w:p>
        </w:tc>
        <w:tc>
          <w:tcPr>
            <w:tcW w:w="0" w:type="auto"/>
            <w:tcBorders>
              <w:top w:val="single" w:sz="1" w:space="0" w:color="000000"/>
              <w:bottom w:val="single" w:sz="1" w:space="0" w:color="000000"/>
              <w:right w:val="single" w:sz="1" w:space="0" w:color="000000"/>
            </w:tcBorders>
          </w:tcPr>
          <w:p w14:paraId="225232FD"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¿Cuál es la naturaleza del fenómeno?</w:t>
            </w:r>
          </w:p>
        </w:tc>
        <w:tc>
          <w:tcPr>
            <w:tcW w:w="0" w:type="auto"/>
            <w:tcBorders>
              <w:top w:val="single" w:sz="1" w:space="0" w:color="000000"/>
              <w:bottom w:val="single" w:sz="1" w:space="0" w:color="000000"/>
              <w:right w:val="single" w:sz="1" w:space="0" w:color="000000"/>
            </w:tcBorders>
          </w:tcPr>
          <w:p w14:paraId="467ADF37"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Observar y registrar sistemáticamente conductas</w:t>
            </w:r>
          </w:p>
        </w:tc>
        <w:tc>
          <w:tcPr>
            <w:tcW w:w="0" w:type="auto"/>
            <w:tcBorders>
              <w:top w:val="single" w:sz="1" w:space="0" w:color="000000"/>
              <w:bottom w:val="single" w:sz="1" w:space="0" w:color="000000"/>
              <w:right w:val="single" w:sz="1" w:space="0" w:color="000000"/>
            </w:tcBorders>
          </w:tcPr>
          <w:p w14:paraId="72D2098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Etnografía, análisis de documentos de archivo, confiabilidad </w:t>
            </w:r>
            <w:proofErr w:type="spellStart"/>
            <w:r w:rsidRPr="00BD4906">
              <w:rPr>
                <w:rFonts w:ascii="Aptos" w:eastAsia="source sans 3" w:hAnsi="Aptos" w:cs="source sans 3"/>
                <w:color w:val="000000"/>
                <w:sz w:val="20"/>
                <w:szCs w:val="20"/>
              </w:rPr>
              <w:t>interjuicios</w:t>
            </w:r>
            <w:proofErr w:type="spellEnd"/>
          </w:p>
        </w:tc>
        <w:tc>
          <w:tcPr>
            <w:tcW w:w="0" w:type="auto"/>
            <w:tcBorders>
              <w:top w:val="single" w:sz="1" w:space="0" w:color="000000"/>
              <w:bottom w:val="single" w:sz="1" w:space="0" w:color="000000"/>
            </w:tcBorders>
          </w:tcPr>
          <w:p w14:paraId="7EC3B9D5"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Solo describe; no predice ni explica </w:t>
            </w:r>
            <w:proofErr w:type="gramStart"/>
            <w:r w:rsidRPr="00BD4906">
              <w:rPr>
                <w:rFonts w:ascii="Aptos" w:eastAsia="source sans 3" w:hAnsi="Aptos" w:cs="source sans 3"/>
                <w:color w:val="000000"/>
                <w:sz w:val="20"/>
                <w:szCs w:val="20"/>
              </w:rPr>
              <w:t>causalidad[</w:t>
            </w:r>
            <w:proofErr w:type="gramEnd"/>
            <w:r w:rsidRPr="00BD4906">
              <w:rPr>
                <w:rFonts w:ascii="Aptos" w:eastAsia="source sans 3" w:hAnsi="Aptos" w:cs="source sans 3"/>
                <w:color w:val="000000"/>
                <w:sz w:val="20"/>
                <w:szCs w:val="20"/>
              </w:rPr>
              <w:t>^1]</w:t>
            </w:r>
          </w:p>
        </w:tc>
      </w:tr>
      <w:tr w:rsidR="008B3B9F" w:rsidRPr="00BD4906" w14:paraId="73787A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7852CF"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Correlacional</w:t>
            </w:r>
          </w:p>
        </w:tc>
        <w:tc>
          <w:tcPr>
            <w:tcW w:w="0" w:type="auto"/>
            <w:tcBorders>
              <w:top w:val="single" w:sz="1" w:space="0" w:color="000000"/>
              <w:bottom w:val="single" w:sz="1" w:space="0" w:color="000000"/>
              <w:right w:val="single" w:sz="1" w:space="0" w:color="000000"/>
            </w:tcBorders>
          </w:tcPr>
          <w:p w14:paraId="4D0DA5AA"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¿Conocer X permite predecir Y?</w:t>
            </w:r>
          </w:p>
        </w:tc>
        <w:tc>
          <w:tcPr>
            <w:tcW w:w="0" w:type="auto"/>
            <w:tcBorders>
              <w:top w:val="single" w:sz="1" w:space="0" w:color="000000"/>
              <w:bottom w:val="single" w:sz="1" w:space="0" w:color="000000"/>
              <w:right w:val="single" w:sz="1" w:space="0" w:color="000000"/>
            </w:tcBorders>
          </w:tcPr>
          <w:p w14:paraId="1F995C20"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Medir la asociación estadística entre variables</w:t>
            </w:r>
          </w:p>
        </w:tc>
        <w:tc>
          <w:tcPr>
            <w:tcW w:w="0" w:type="auto"/>
            <w:tcBorders>
              <w:top w:val="single" w:sz="1" w:space="0" w:color="000000"/>
              <w:bottom w:val="single" w:sz="1" w:space="0" w:color="000000"/>
              <w:right w:val="single" w:sz="1" w:space="0" w:color="000000"/>
            </w:tcBorders>
          </w:tcPr>
          <w:p w14:paraId="59700AA5"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Encuestas sobre muestras aleatorias amplias</w:t>
            </w:r>
          </w:p>
        </w:tc>
        <w:tc>
          <w:tcPr>
            <w:tcW w:w="0" w:type="auto"/>
            <w:tcBorders>
              <w:top w:val="single" w:sz="1" w:space="0" w:color="000000"/>
              <w:bottom w:val="single" w:sz="1" w:space="0" w:color="000000"/>
            </w:tcBorders>
          </w:tcPr>
          <w:p w14:paraId="3A553FAC"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La correlación no implica causalidad; no discierne qué variable es la </w:t>
            </w:r>
            <w:proofErr w:type="gramStart"/>
            <w:r w:rsidRPr="00BD4906">
              <w:rPr>
                <w:rFonts w:ascii="Aptos" w:eastAsia="source sans 3" w:hAnsi="Aptos" w:cs="source sans 3"/>
                <w:color w:val="000000"/>
                <w:sz w:val="20"/>
                <w:szCs w:val="20"/>
              </w:rPr>
              <w:t>causa[</w:t>
            </w:r>
            <w:proofErr w:type="gramEnd"/>
            <w:r w:rsidRPr="00BD4906">
              <w:rPr>
                <w:rFonts w:ascii="Aptos" w:eastAsia="source sans 3" w:hAnsi="Aptos" w:cs="source sans 3"/>
                <w:color w:val="000000"/>
                <w:sz w:val="20"/>
                <w:szCs w:val="20"/>
              </w:rPr>
              <w:t>^1]</w:t>
            </w:r>
          </w:p>
        </w:tc>
      </w:tr>
      <w:tr w:rsidR="008B3B9F" w:rsidRPr="00BD4906" w14:paraId="06CF0A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F70878" w14:textId="77777777" w:rsidR="008B3B9F" w:rsidRPr="00BD4906" w:rsidRDefault="00000000" w:rsidP="00BD4906">
            <w:pPr>
              <w:rPr>
                <w:rFonts w:ascii="Aptos" w:hAnsi="Aptos"/>
                <w:sz w:val="20"/>
                <w:szCs w:val="20"/>
              </w:rPr>
            </w:pPr>
            <w:r w:rsidRPr="00BD4906">
              <w:rPr>
                <w:rFonts w:ascii="Aptos" w:eastAsia="source serif 4" w:hAnsi="Aptos" w:cs="source serif 4"/>
                <w:b/>
                <w:color w:val="000000"/>
                <w:sz w:val="20"/>
                <w:szCs w:val="20"/>
              </w:rPr>
              <w:t>Experimental</w:t>
            </w:r>
          </w:p>
        </w:tc>
        <w:tc>
          <w:tcPr>
            <w:tcW w:w="0" w:type="auto"/>
            <w:tcBorders>
              <w:top w:val="single" w:sz="1" w:space="0" w:color="000000"/>
              <w:bottom w:val="single" w:sz="1" w:space="0" w:color="000000"/>
              <w:right w:val="single" w:sz="1" w:space="0" w:color="000000"/>
            </w:tcBorders>
          </w:tcPr>
          <w:p w14:paraId="730CE358"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¿X causa el comportamiento Y?</w:t>
            </w:r>
          </w:p>
        </w:tc>
        <w:tc>
          <w:tcPr>
            <w:tcW w:w="0" w:type="auto"/>
            <w:tcBorders>
              <w:top w:val="single" w:sz="1" w:space="0" w:color="000000"/>
              <w:bottom w:val="single" w:sz="1" w:space="0" w:color="000000"/>
              <w:right w:val="single" w:sz="1" w:space="0" w:color="000000"/>
            </w:tcBorders>
          </w:tcPr>
          <w:p w14:paraId="507A9BA2"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Manipular la variable independiente controlando variables extrañas</w:t>
            </w:r>
          </w:p>
        </w:tc>
        <w:tc>
          <w:tcPr>
            <w:tcW w:w="0" w:type="auto"/>
            <w:tcBorders>
              <w:top w:val="single" w:sz="1" w:space="0" w:color="000000"/>
              <w:bottom w:val="single" w:sz="1" w:space="0" w:color="000000"/>
              <w:right w:val="single" w:sz="1" w:space="0" w:color="000000"/>
            </w:tcBorders>
          </w:tcPr>
          <w:p w14:paraId="0AB168A7"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Asignación aleatoria a condiciones; control estricto</w:t>
            </w:r>
          </w:p>
        </w:tc>
        <w:tc>
          <w:tcPr>
            <w:tcW w:w="0" w:type="auto"/>
            <w:tcBorders>
              <w:top w:val="single" w:sz="1" w:space="0" w:color="000000"/>
              <w:bottom w:val="single" w:sz="1" w:space="0" w:color="000000"/>
            </w:tcBorders>
          </w:tcPr>
          <w:p w14:paraId="53087721" w14:textId="77777777" w:rsidR="008B3B9F" w:rsidRPr="00BD4906" w:rsidRDefault="00000000" w:rsidP="00BD4906">
            <w:pPr>
              <w:rPr>
                <w:rFonts w:ascii="Aptos" w:hAnsi="Aptos"/>
                <w:sz w:val="20"/>
                <w:szCs w:val="20"/>
              </w:rPr>
            </w:pPr>
            <w:r w:rsidRPr="00BD4906">
              <w:rPr>
                <w:rFonts w:ascii="Aptos" w:eastAsia="source sans 3" w:hAnsi="Aptos" w:cs="source sans 3"/>
                <w:color w:val="000000"/>
                <w:sz w:val="20"/>
                <w:szCs w:val="20"/>
              </w:rPr>
              <w:t xml:space="preserve">Es el único método apto para postular causalidad, pero exige alto control </w:t>
            </w:r>
            <w:proofErr w:type="gramStart"/>
            <w:r w:rsidRPr="00BD4906">
              <w:rPr>
                <w:rFonts w:ascii="Aptos" w:eastAsia="source sans 3" w:hAnsi="Aptos" w:cs="source sans 3"/>
                <w:color w:val="000000"/>
                <w:sz w:val="20"/>
                <w:szCs w:val="20"/>
              </w:rPr>
              <w:t>artificial[</w:t>
            </w:r>
            <w:proofErr w:type="gramEnd"/>
            <w:r w:rsidRPr="00BD4906">
              <w:rPr>
                <w:rFonts w:ascii="Aptos" w:eastAsia="source sans 3" w:hAnsi="Aptos" w:cs="source sans 3"/>
                <w:color w:val="000000"/>
                <w:sz w:val="20"/>
                <w:szCs w:val="20"/>
              </w:rPr>
              <w:t>^1]</w:t>
            </w:r>
          </w:p>
        </w:tc>
      </w:tr>
    </w:tbl>
    <w:p w14:paraId="4FC43EFF" w14:textId="77777777" w:rsidR="008B3B9F" w:rsidRPr="00BD4906" w:rsidRDefault="008B3B9F" w:rsidP="00BD4906">
      <w:pPr>
        <w:spacing w:after="0" w:line="240" w:lineRule="auto"/>
        <w:rPr>
          <w:rFonts w:ascii="Aptos" w:hAnsi="Aptos"/>
          <w:sz w:val="20"/>
          <w:szCs w:val="20"/>
        </w:rPr>
      </w:pPr>
    </w:p>
    <w:p w14:paraId="36B1A084" w14:textId="77777777" w:rsidR="008B3B9F" w:rsidRPr="00BD4906" w:rsidRDefault="00000000" w:rsidP="00BD4906">
      <w:pPr>
        <w:spacing w:after="0" w:line="240" w:lineRule="auto"/>
        <w:ind w:left="-30"/>
        <w:rPr>
          <w:rFonts w:ascii="Aptos" w:hAnsi="Aptos"/>
          <w:sz w:val="20"/>
          <w:szCs w:val="20"/>
        </w:rPr>
      </w:pPr>
      <w:bookmarkStart w:id="26" w:name="ámbitos_de_aplicación_de_la_psico_1412af"/>
      <w:r w:rsidRPr="00BD4906">
        <w:rPr>
          <w:rFonts w:ascii="Aptos" w:eastAsia="source serif 4" w:hAnsi="Aptos" w:cs="source serif 4"/>
          <w:b/>
          <w:color w:val="000000"/>
          <w:sz w:val="20"/>
          <w:szCs w:val="20"/>
        </w:rPr>
        <w:t>Ámbitos de aplicación de la Psicología Social</w:t>
      </w:r>
      <w:bookmarkEnd w:id="26"/>
    </w:p>
    <w:p w14:paraId="5767C6A9" w14:textId="77777777" w:rsidR="008B3B9F" w:rsidRPr="00BD4906" w:rsidRDefault="00000000" w:rsidP="00BD4906">
      <w:pPr>
        <w:spacing w:after="0" w:line="240" w:lineRule="auto"/>
        <w:ind w:left="-30"/>
        <w:rPr>
          <w:rFonts w:ascii="Aptos" w:hAnsi="Aptos"/>
          <w:sz w:val="20"/>
          <w:szCs w:val="20"/>
        </w:rPr>
      </w:pPr>
      <w:bookmarkStart w:id="27" w:name="áreas_de_intervención_práctica"/>
      <w:r w:rsidRPr="00BD4906">
        <w:rPr>
          <w:rFonts w:ascii="Aptos" w:eastAsia="source serif 4" w:hAnsi="Aptos" w:cs="source serif 4"/>
          <w:b/>
          <w:color w:val="000000"/>
          <w:sz w:val="20"/>
          <w:szCs w:val="20"/>
        </w:rPr>
        <w:t>Áreas de intervención práctica</w:t>
      </w:r>
      <w:bookmarkEnd w:id="27"/>
    </w:p>
    <w:p w14:paraId="433D3203" w14:textId="77777777" w:rsidR="008B3B9F" w:rsidRPr="00BD4906" w:rsidRDefault="00000000" w:rsidP="00BD4906">
      <w:pPr>
        <w:numPr>
          <w:ilvl w:val="0"/>
          <w:numId w:val="12"/>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Áreas tradicionales</w:t>
      </w:r>
      <w:r w:rsidRPr="00BD4906">
        <w:rPr>
          <w:rFonts w:ascii="Aptos" w:eastAsia="source serif 4" w:hAnsi="Aptos" w:cs="source serif 4"/>
          <w:color w:val="000000"/>
          <w:sz w:val="20"/>
          <w:szCs w:val="20"/>
        </w:rPr>
        <w:t xml:space="preserve">: reducción de la hostilidad intergrupal, desmontaje del prejuicio y el racismo, fomento del altruismo y la ayuda </w:t>
      </w:r>
      <w:proofErr w:type="gramStart"/>
      <w:r w:rsidRPr="00BD4906">
        <w:rPr>
          <w:rFonts w:ascii="Aptos" w:eastAsia="source serif 4" w:hAnsi="Aptos" w:cs="source serif 4"/>
          <w:color w:val="000000"/>
          <w:sz w:val="20"/>
          <w:szCs w:val="20"/>
        </w:rPr>
        <w:t>mutua.[</w:t>
      </w:r>
      <w:proofErr w:type="gramEnd"/>
      <w:r w:rsidRPr="00BD4906">
        <w:rPr>
          <w:rFonts w:ascii="Aptos" w:eastAsia="source serif 4" w:hAnsi="Aptos" w:cs="source serif 4"/>
          <w:color w:val="000000"/>
          <w:sz w:val="20"/>
          <w:szCs w:val="20"/>
        </w:rPr>
        <w:t>^1]</w:t>
      </w:r>
    </w:p>
    <w:p w14:paraId="1DB47728" w14:textId="77777777" w:rsidR="008B3B9F" w:rsidRPr="00BD4906" w:rsidRDefault="00000000" w:rsidP="00BD4906">
      <w:pPr>
        <w:numPr>
          <w:ilvl w:val="0"/>
          <w:numId w:val="12"/>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Problemáticas actuales</w:t>
      </w:r>
      <w:r w:rsidRPr="00BD4906">
        <w:rPr>
          <w:rFonts w:ascii="Aptos" w:eastAsia="source serif 4" w:hAnsi="Aptos" w:cs="source serif 4"/>
          <w:color w:val="000000"/>
          <w:sz w:val="20"/>
          <w:szCs w:val="20"/>
        </w:rPr>
        <w:t xml:space="preserve">: cuidado del medio ambiente (conservación de energía y agua), problemáticas de género y educación sexual, modulación conductual en redes </w:t>
      </w:r>
      <w:proofErr w:type="gramStart"/>
      <w:r w:rsidRPr="00BD4906">
        <w:rPr>
          <w:rFonts w:ascii="Aptos" w:eastAsia="source serif 4" w:hAnsi="Aptos" w:cs="source serif 4"/>
          <w:color w:val="000000"/>
          <w:sz w:val="20"/>
          <w:szCs w:val="20"/>
        </w:rPr>
        <w:t>sociales.[</w:t>
      </w:r>
      <w:proofErr w:type="gramEnd"/>
      <w:r w:rsidRPr="00BD4906">
        <w:rPr>
          <w:rFonts w:ascii="Aptos" w:eastAsia="source serif 4" w:hAnsi="Aptos" w:cs="source serif 4"/>
          <w:color w:val="000000"/>
          <w:sz w:val="20"/>
          <w:szCs w:val="20"/>
        </w:rPr>
        <w:t>^1]</w:t>
      </w:r>
    </w:p>
    <w:p w14:paraId="2F4BF9BF" w14:textId="77777777" w:rsidR="008B3B9F" w:rsidRPr="00BD4906" w:rsidRDefault="00000000" w:rsidP="00BD4906">
      <w:pPr>
        <w:numPr>
          <w:ilvl w:val="0"/>
          <w:numId w:val="12"/>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Ámbitos profesionales</w:t>
      </w:r>
      <w:r w:rsidRPr="00BD4906">
        <w:rPr>
          <w:rFonts w:ascii="Aptos" w:eastAsia="source serif 4" w:hAnsi="Aptos" w:cs="source serif 4"/>
          <w:color w:val="000000"/>
          <w:sz w:val="20"/>
          <w:szCs w:val="20"/>
        </w:rPr>
        <w:t xml:space="preserve">: publicidad y marketing (conducta de consumo), psicología de las organizaciones (dinámicas de liderazgo), mediación de conflictos </w:t>
      </w:r>
      <w:proofErr w:type="gramStart"/>
      <w:r w:rsidRPr="00BD4906">
        <w:rPr>
          <w:rFonts w:ascii="Aptos" w:eastAsia="source serif 4" w:hAnsi="Aptos" w:cs="source serif 4"/>
          <w:color w:val="000000"/>
          <w:sz w:val="20"/>
          <w:szCs w:val="20"/>
        </w:rPr>
        <w:t>internacionales.[</w:t>
      </w:r>
      <w:proofErr w:type="gramEnd"/>
      <w:r w:rsidRPr="00BD4906">
        <w:rPr>
          <w:rFonts w:ascii="Aptos" w:eastAsia="source serif 4" w:hAnsi="Aptos" w:cs="source serif 4"/>
          <w:color w:val="000000"/>
          <w:sz w:val="20"/>
          <w:szCs w:val="20"/>
        </w:rPr>
        <w:t>^1]</w:t>
      </w:r>
    </w:p>
    <w:p w14:paraId="10B8E16B" w14:textId="77777777" w:rsidR="008B3B9F" w:rsidRPr="00BD4906" w:rsidRDefault="00000000" w:rsidP="00BD4906">
      <w:pPr>
        <w:spacing w:after="0" w:line="240" w:lineRule="auto"/>
        <w:ind w:left="-30"/>
        <w:rPr>
          <w:rFonts w:ascii="Aptos" w:hAnsi="Aptos"/>
          <w:sz w:val="20"/>
          <w:szCs w:val="20"/>
        </w:rPr>
      </w:pPr>
      <w:bookmarkStart w:id="28" w:name="funciones_en_la_intervención_psicosocial"/>
      <w:r w:rsidRPr="00BD4906">
        <w:rPr>
          <w:rFonts w:ascii="Aptos" w:eastAsia="source serif 4" w:hAnsi="Aptos" w:cs="source serif 4"/>
          <w:b/>
          <w:color w:val="000000"/>
          <w:sz w:val="20"/>
          <w:szCs w:val="20"/>
        </w:rPr>
        <w:t>Funciones en la intervención psicosocial</w:t>
      </w:r>
      <w:bookmarkEnd w:id="28"/>
    </w:p>
    <w:p w14:paraId="1FAC6EDC" w14:textId="77777777" w:rsidR="008B3B9F" w:rsidRPr="00BD4906" w:rsidRDefault="00000000" w:rsidP="00BD4906">
      <w:pPr>
        <w:numPr>
          <w:ilvl w:val="0"/>
          <w:numId w:val="13"/>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Intervención directa</w:t>
      </w:r>
      <w:r w:rsidRPr="00BD4906">
        <w:rPr>
          <w:rFonts w:ascii="Aptos" w:eastAsia="source serif 4" w:hAnsi="Aptos" w:cs="source serif 4"/>
          <w:color w:val="000000"/>
          <w:sz w:val="20"/>
          <w:szCs w:val="20"/>
        </w:rPr>
        <w:t xml:space="preserve">: dinamización de procesos individuales y grupales, asesoramiento a organizaciones, coordinación de redes de apoyo </w:t>
      </w:r>
      <w:proofErr w:type="gramStart"/>
      <w:r w:rsidRPr="00BD4906">
        <w:rPr>
          <w:rFonts w:ascii="Aptos" w:eastAsia="source serif 4" w:hAnsi="Aptos" w:cs="source serif 4"/>
          <w:color w:val="000000"/>
          <w:sz w:val="20"/>
          <w:szCs w:val="20"/>
        </w:rPr>
        <w:t>comunitario.[</w:t>
      </w:r>
      <w:proofErr w:type="gramEnd"/>
      <w:r w:rsidRPr="00BD4906">
        <w:rPr>
          <w:rFonts w:ascii="Aptos" w:eastAsia="source serif 4" w:hAnsi="Aptos" w:cs="source serif 4"/>
          <w:color w:val="000000"/>
          <w:sz w:val="20"/>
          <w:szCs w:val="20"/>
        </w:rPr>
        <w:t>^1]</w:t>
      </w:r>
    </w:p>
    <w:p w14:paraId="3525AF1C" w14:textId="77777777" w:rsidR="008B3B9F" w:rsidRPr="00BD4906" w:rsidRDefault="00000000" w:rsidP="00BD4906">
      <w:pPr>
        <w:numPr>
          <w:ilvl w:val="0"/>
          <w:numId w:val="13"/>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Prevención y gestión</w:t>
      </w:r>
      <w:r w:rsidRPr="00BD4906">
        <w:rPr>
          <w:rFonts w:ascii="Aptos" w:eastAsia="source serif 4" w:hAnsi="Aptos" w:cs="source serif 4"/>
          <w:color w:val="000000"/>
          <w:sz w:val="20"/>
          <w:szCs w:val="20"/>
        </w:rPr>
        <w:t xml:space="preserve">: evaluación de necesidades comunitarias, detección precoz de dinámicas de riesgo, diseño de planes de intervención, promoción de la transformación </w:t>
      </w:r>
      <w:proofErr w:type="gramStart"/>
      <w:r w:rsidRPr="00BD4906">
        <w:rPr>
          <w:rFonts w:ascii="Aptos" w:eastAsia="source serif 4" w:hAnsi="Aptos" w:cs="source serif 4"/>
          <w:color w:val="000000"/>
          <w:sz w:val="20"/>
          <w:szCs w:val="20"/>
        </w:rPr>
        <w:t>social.[</w:t>
      </w:r>
      <w:proofErr w:type="gramEnd"/>
      <w:r w:rsidRPr="00BD4906">
        <w:rPr>
          <w:rFonts w:ascii="Aptos" w:eastAsia="source serif 4" w:hAnsi="Aptos" w:cs="source serif 4"/>
          <w:color w:val="000000"/>
          <w:sz w:val="20"/>
          <w:szCs w:val="20"/>
        </w:rPr>
        <w:t>^1]</w:t>
      </w:r>
    </w:p>
    <w:p w14:paraId="01BBA010" w14:textId="77777777" w:rsidR="008B3B9F" w:rsidRPr="00BD4906" w:rsidRDefault="00000000" w:rsidP="00BD4906">
      <w:pPr>
        <w:numPr>
          <w:ilvl w:val="0"/>
          <w:numId w:val="13"/>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lastRenderedPageBreak/>
        <w:t>Formación y psicoeducación</w:t>
      </w:r>
      <w:r w:rsidRPr="00BD4906">
        <w:rPr>
          <w:rFonts w:ascii="Aptos" w:eastAsia="source serif 4" w:hAnsi="Aptos" w:cs="source serif 4"/>
          <w:color w:val="000000"/>
          <w:sz w:val="20"/>
          <w:szCs w:val="20"/>
        </w:rPr>
        <w:t xml:space="preserve">: diseño de estrategias psicoeducativas y recursos formativos para colectivos de riesgo, desarrollo teórico de metodologías de </w:t>
      </w:r>
      <w:proofErr w:type="gramStart"/>
      <w:r w:rsidRPr="00BD4906">
        <w:rPr>
          <w:rFonts w:ascii="Aptos" w:eastAsia="source serif 4" w:hAnsi="Aptos" w:cs="source serif 4"/>
          <w:color w:val="000000"/>
          <w:sz w:val="20"/>
          <w:szCs w:val="20"/>
        </w:rPr>
        <w:t>intervención.[</w:t>
      </w:r>
      <w:proofErr w:type="gramEnd"/>
      <w:r w:rsidRPr="00BD4906">
        <w:rPr>
          <w:rFonts w:ascii="Aptos" w:eastAsia="source serif 4" w:hAnsi="Aptos" w:cs="source serif 4"/>
          <w:color w:val="000000"/>
          <w:sz w:val="20"/>
          <w:szCs w:val="20"/>
        </w:rPr>
        <w:t>^1]</w:t>
      </w:r>
    </w:p>
    <w:p w14:paraId="0D4ECE50"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29" w:name="el_binomio_enfoque_contenidos_mar_615034"/>
    </w:p>
    <w:p w14:paraId="15F845F4" w14:textId="49925189"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El binomio enfoque-contenidos (Markus, 2004)</w:t>
      </w:r>
      <w:bookmarkEnd w:id="29"/>
    </w:p>
    <w:p w14:paraId="70A067B3"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H. R. Markus plantea que, dado que la PS aborda contenidos muy dispares (actitudes, estereotipia, prejuicio, el yo, identidad, dinámica de grupos), lo que unifica a la disciplina no es un tema único sino un </w:t>
      </w:r>
      <w:r w:rsidRPr="00BD4906">
        <w:rPr>
          <w:rFonts w:ascii="Aptos" w:eastAsia="source serif 4" w:hAnsi="Aptos" w:cs="source serif 4"/>
          <w:b/>
          <w:color w:val="000000"/>
          <w:sz w:val="20"/>
          <w:szCs w:val="20"/>
        </w:rPr>
        <w:t>enfoque</w:t>
      </w:r>
      <w:r w:rsidRPr="00BD4906">
        <w:rPr>
          <w:rFonts w:ascii="Aptos" w:eastAsia="source serif 4" w:hAnsi="Aptos" w:cs="source serif 4"/>
          <w:color w:val="000000"/>
          <w:sz w:val="20"/>
          <w:szCs w:val="20"/>
        </w:rPr>
        <w:t xml:space="preserve"> compartido: entender la conducta humana como profundamente social, es decir, producto de las relaciones con otras </w:t>
      </w:r>
      <w:proofErr w:type="gramStart"/>
      <w:r w:rsidRPr="00BD4906">
        <w:rPr>
          <w:rFonts w:ascii="Aptos" w:eastAsia="source serif 4" w:hAnsi="Aptos" w:cs="source serif 4"/>
          <w:color w:val="000000"/>
          <w:sz w:val="20"/>
          <w:szCs w:val="20"/>
        </w:rPr>
        <w:t>personas.[</w:t>
      </w:r>
      <w:proofErr w:type="gramEnd"/>
      <w:r w:rsidRPr="00BD4906">
        <w:rPr>
          <w:rFonts w:ascii="Aptos" w:eastAsia="source serif 4" w:hAnsi="Aptos" w:cs="source serif 4"/>
          <w:color w:val="000000"/>
          <w:sz w:val="20"/>
          <w:szCs w:val="20"/>
        </w:rPr>
        <w:t>^2]</w:t>
      </w:r>
    </w:p>
    <w:p w14:paraId="54B72880"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Markus ilustra, con dos experiencias propias (un seminario con policías sobre sesgo racial y una investigación en aulas étnicamente integradas), cómo tanto policías como docentes tienden a explicar la conducta apelando exclusivamente a factores internos del individuo (rasgos, motivación, instintos), olvidando el peso del contexto y de las relaciones sociales. Propone cuatro nociones del "modelo psicosocial" que pueden difundirse en sociedades individualistas como la estadounidense:</w:t>
      </w:r>
    </w:p>
    <w:p w14:paraId="119994B0" w14:textId="77777777" w:rsidR="008B3B9F" w:rsidRPr="00BD4906" w:rsidRDefault="00000000" w:rsidP="00BD4906">
      <w:pPr>
        <w:numPr>
          <w:ilvl w:val="0"/>
          <w:numId w:val="14"/>
        </w:numPr>
        <w:spacing w:after="0" w:line="240" w:lineRule="auto"/>
        <w:ind w:firstLine="0"/>
        <w:rPr>
          <w:rFonts w:ascii="Aptos" w:hAnsi="Aptos"/>
          <w:sz w:val="20"/>
          <w:szCs w:val="20"/>
        </w:rPr>
      </w:pPr>
      <w:r w:rsidRPr="00BD4906">
        <w:rPr>
          <w:rFonts w:ascii="Aptos" w:eastAsia="source serif 4" w:hAnsi="Aptos" w:cs="source serif 4"/>
          <w:color w:val="000000"/>
          <w:sz w:val="20"/>
          <w:szCs w:val="20"/>
        </w:rPr>
        <w:t xml:space="preserve">El actor psicosocial es activo y </w:t>
      </w:r>
      <w:proofErr w:type="spellStart"/>
      <w:r w:rsidRPr="00BD4906">
        <w:rPr>
          <w:rFonts w:ascii="Aptos" w:eastAsia="source serif 4" w:hAnsi="Aptos" w:cs="source serif 4"/>
          <w:color w:val="000000"/>
          <w:sz w:val="20"/>
          <w:szCs w:val="20"/>
        </w:rPr>
        <w:t>agéntico</w:t>
      </w:r>
      <w:proofErr w:type="spellEnd"/>
      <w:r w:rsidRPr="00BD4906">
        <w:rPr>
          <w:rFonts w:ascii="Aptos" w:eastAsia="source serif 4" w:hAnsi="Aptos" w:cs="source serif 4"/>
          <w:color w:val="000000"/>
          <w:sz w:val="20"/>
          <w:szCs w:val="20"/>
        </w:rPr>
        <w:t>.</w:t>
      </w:r>
    </w:p>
    <w:p w14:paraId="4BE9E3C7" w14:textId="77777777" w:rsidR="008B3B9F" w:rsidRPr="00BD4906" w:rsidRDefault="00000000" w:rsidP="00BD4906">
      <w:pPr>
        <w:numPr>
          <w:ilvl w:val="0"/>
          <w:numId w:val="14"/>
        </w:numPr>
        <w:spacing w:after="0" w:line="240" w:lineRule="auto"/>
        <w:ind w:firstLine="0"/>
        <w:rPr>
          <w:rFonts w:ascii="Aptos" w:hAnsi="Aptos"/>
          <w:sz w:val="20"/>
          <w:szCs w:val="20"/>
        </w:rPr>
      </w:pPr>
      <w:r w:rsidRPr="00BD4906">
        <w:rPr>
          <w:rFonts w:ascii="Aptos" w:eastAsia="source serif 4" w:hAnsi="Aptos" w:cs="source serif 4"/>
          <w:color w:val="000000"/>
          <w:sz w:val="20"/>
          <w:szCs w:val="20"/>
        </w:rPr>
        <w:t>Las personas tienen capacidad de cambiar.</w:t>
      </w:r>
    </w:p>
    <w:p w14:paraId="66D419D7" w14:textId="77777777" w:rsidR="008B3B9F" w:rsidRPr="00BD4906" w:rsidRDefault="00000000" w:rsidP="00BD4906">
      <w:pPr>
        <w:numPr>
          <w:ilvl w:val="0"/>
          <w:numId w:val="14"/>
        </w:numPr>
        <w:spacing w:after="0" w:line="240" w:lineRule="auto"/>
        <w:ind w:firstLine="0"/>
        <w:rPr>
          <w:rFonts w:ascii="Aptos" w:hAnsi="Aptos"/>
          <w:sz w:val="20"/>
          <w:szCs w:val="20"/>
        </w:rPr>
      </w:pPr>
      <w:r w:rsidRPr="00BD4906">
        <w:rPr>
          <w:rFonts w:ascii="Aptos" w:eastAsia="source serif 4" w:hAnsi="Aptos" w:cs="source serif 4"/>
          <w:color w:val="000000"/>
          <w:sz w:val="20"/>
          <w:szCs w:val="20"/>
        </w:rPr>
        <w:t>Las personas pueden cambiar los contextos en que viven.</w:t>
      </w:r>
    </w:p>
    <w:p w14:paraId="71F0310F" w14:textId="77777777" w:rsidR="008B3B9F" w:rsidRPr="00BD4906" w:rsidRDefault="00000000" w:rsidP="00BD4906">
      <w:pPr>
        <w:numPr>
          <w:ilvl w:val="0"/>
          <w:numId w:val="14"/>
        </w:numPr>
        <w:spacing w:after="0" w:line="240" w:lineRule="auto"/>
        <w:ind w:firstLine="0"/>
        <w:rPr>
          <w:rFonts w:ascii="Aptos" w:hAnsi="Aptos"/>
          <w:sz w:val="20"/>
          <w:szCs w:val="20"/>
        </w:rPr>
      </w:pPr>
      <w:r w:rsidRPr="00BD4906">
        <w:rPr>
          <w:rFonts w:ascii="Aptos" w:eastAsia="source serif 4" w:hAnsi="Aptos" w:cs="source serif 4"/>
          <w:color w:val="000000"/>
          <w:sz w:val="20"/>
          <w:szCs w:val="20"/>
        </w:rPr>
        <w:t xml:space="preserve">Los contextos sociales son producto de la actividad humana, no algo separado de las </w:t>
      </w:r>
      <w:proofErr w:type="gramStart"/>
      <w:r w:rsidRPr="00BD4906">
        <w:rPr>
          <w:rFonts w:ascii="Aptos" w:eastAsia="source serif 4" w:hAnsi="Aptos" w:cs="source serif 4"/>
          <w:color w:val="000000"/>
          <w:sz w:val="20"/>
          <w:szCs w:val="20"/>
        </w:rPr>
        <w:t>personas.[</w:t>
      </w:r>
      <w:proofErr w:type="gramEnd"/>
      <w:r w:rsidRPr="00BD4906">
        <w:rPr>
          <w:rFonts w:ascii="Aptos" w:eastAsia="source serif 4" w:hAnsi="Aptos" w:cs="source serif 4"/>
          <w:color w:val="000000"/>
          <w:sz w:val="20"/>
          <w:szCs w:val="20"/>
        </w:rPr>
        <w:t>^2]</w:t>
      </w:r>
    </w:p>
    <w:p w14:paraId="708849CB"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30" w:name="interacción_persona_situación_swa_1a3228"/>
    </w:p>
    <w:p w14:paraId="2696F221" w14:textId="234D88DD"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Interacción persona × situación (Swann y Seyle, 2005)</w:t>
      </w:r>
      <w:bookmarkEnd w:id="30"/>
    </w:p>
    <w:p w14:paraId="07D3A233"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Como complemento, esta perspectiva reconoce que, si bien la PS acierta al enfatizar la situación (por ejemplo, para comprender la conducta de guardias de prisión es indispensable conocer el contexto), en otras ocasiones interesa predecir cómo se ordenan las personas dentro de una situación, lo que requiere atender a </w:t>
      </w:r>
      <w:r w:rsidRPr="00BD4906">
        <w:rPr>
          <w:rFonts w:ascii="Aptos" w:eastAsia="source serif 4" w:hAnsi="Aptos" w:cs="source serif 4"/>
          <w:b/>
          <w:color w:val="000000"/>
          <w:sz w:val="20"/>
          <w:szCs w:val="20"/>
        </w:rPr>
        <w:t>rasgos de personalidad situados</w:t>
      </w:r>
      <w:r w:rsidRPr="00BD4906">
        <w:rPr>
          <w:rFonts w:ascii="Aptos" w:eastAsia="source serif 4" w:hAnsi="Aptos" w:cs="source serif 4"/>
          <w:color w:val="000000"/>
          <w:sz w:val="20"/>
          <w:szCs w:val="20"/>
        </w:rPr>
        <w:t xml:space="preserve"> (no generales), como la exactitud en la percepción de personas dentro de contextos compartidos específicos. Situación y personalidad interactúan de forma mutuamente dependiente: las variables </w:t>
      </w:r>
      <w:proofErr w:type="spellStart"/>
      <w:r w:rsidRPr="00BD4906">
        <w:rPr>
          <w:rFonts w:ascii="Aptos" w:eastAsia="source serif 4" w:hAnsi="Aptos" w:cs="source serif 4"/>
          <w:color w:val="000000"/>
          <w:sz w:val="20"/>
          <w:szCs w:val="20"/>
        </w:rPr>
        <w:t>personológicas</w:t>
      </w:r>
      <w:proofErr w:type="spellEnd"/>
      <w:r w:rsidRPr="00BD4906">
        <w:rPr>
          <w:rFonts w:ascii="Aptos" w:eastAsia="source serif 4" w:hAnsi="Aptos" w:cs="source serif 4"/>
          <w:color w:val="000000"/>
          <w:sz w:val="20"/>
          <w:szCs w:val="20"/>
        </w:rPr>
        <w:t xml:space="preserve"> llevan a categorizar las situaciones de forma idiosincrásica, mientras que las situaciones generan rutinas conductuales apropiadas al </w:t>
      </w:r>
      <w:proofErr w:type="gramStart"/>
      <w:r w:rsidRPr="00BD4906">
        <w:rPr>
          <w:rFonts w:ascii="Aptos" w:eastAsia="source serif 4" w:hAnsi="Aptos" w:cs="source serif 4"/>
          <w:color w:val="000000"/>
          <w:sz w:val="20"/>
          <w:szCs w:val="20"/>
        </w:rPr>
        <w:t>contexto.[</w:t>
      </w:r>
      <w:proofErr w:type="gramEnd"/>
      <w:r w:rsidRPr="00BD4906">
        <w:rPr>
          <w:rFonts w:ascii="Aptos" w:eastAsia="source serif 4" w:hAnsi="Aptos" w:cs="source serif 4"/>
          <w:color w:val="000000"/>
          <w:sz w:val="20"/>
          <w:szCs w:val="20"/>
        </w:rPr>
        <w:t>^2]</w:t>
      </w:r>
    </w:p>
    <w:p w14:paraId="59C86294"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31" w:name="conclusiones_integradoras"/>
    </w:p>
    <w:p w14:paraId="5D023992" w14:textId="3783E3D6"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Conclusiones integradoras</w:t>
      </w:r>
      <w:bookmarkEnd w:id="31"/>
    </w:p>
    <w:p w14:paraId="396774F9"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El enfoque psicosocial particular consiste en analizar cómo lo social moldea de forma permanente y compleja el pensamiento, la emoción y la conducta individual. Dos ideas cierran el marco conceptual de la </w:t>
      </w:r>
      <w:proofErr w:type="gramStart"/>
      <w:r w:rsidRPr="00BD4906">
        <w:rPr>
          <w:rFonts w:ascii="Aptos" w:eastAsia="source serif 4" w:hAnsi="Aptos" w:cs="source serif 4"/>
          <w:color w:val="000000"/>
          <w:sz w:val="20"/>
          <w:szCs w:val="20"/>
        </w:rPr>
        <w:t>materia:[</w:t>
      </w:r>
      <w:proofErr w:type="gramEnd"/>
      <w:r w:rsidRPr="00BD4906">
        <w:rPr>
          <w:rFonts w:ascii="Aptos" w:eastAsia="source serif 4" w:hAnsi="Aptos" w:cs="source serif 4"/>
          <w:color w:val="000000"/>
          <w:sz w:val="20"/>
          <w:szCs w:val="20"/>
        </w:rPr>
        <w:t>^1]</w:t>
      </w:r>
    </w:p>
    <w:p w14:paraId="50FF539E" w14:textId="77777777" w:rsidR="008B3B9F" w:rsidRPr="00BD4906" w:rsidRDefault="00000000" w:rsidP="00BD4906">
      <w:pPr>
        <w:numPr>
          <w:ilvl w:val="0"/>
          <w:numId w:val="15"/>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Integración analítica de tres niveles</w:t>
      </w:r>
      <w:r w:rsidRPr="00BD4906">
        <w:rPr>
          <w:rFonts w:ascii="Aptos" w:eastAsia="source serif 4" w:hAnsi="Aptos" w:cs="source serif 4"/>
          <w:color w:val="000000"/>
          <w:sz w:val="20"/>
          <w:szCs w:val="20"/>
        </w:rPr>
        <w:t xml:space="preserve">: un análisis psicosocial riguroso exige la interconexión explícita de variables individuales, grupales e históricas/estructurales; el comportamiento no puede explicarse aislando al sujeto de sus relaciones con los </w:t>
      </w:r>
      <w:proofErr w:type="gramStart"/>
      <w:r w:rsidRPr="00BD4906">
        <w:rPr>
          <w:rFonts w:ascii="Aptos" w:eastAsia="source serif 4" w:hAnsi="Aptos" w:cs="source serif 4"/>
          <w:color w:val="000000"/>
          <w:sz w:val="20"/>
          <w:szCs w:val="20"/>
        </w:rPr>
        <w:t>demás.[</w:t>
      </w:r>
      <w:proofErr w:type="gramEnd"/>
      <w:r w:rsidRPr="00BD4906">
        <w:rPr>
          <w:rFonts w:ascii="Aptos" w:eastAsia="source serif 4" w:hAnsi="Aptos" w:cs="source serif 4"/>
          <w:color w:val="000000"/>
          <w:sz w:val="20"/>
          <w:szCs w:val="20"/>
        </w:rPr>
        <w:t>^1]</w:t>
      </w:r>
    </w:p>
    <w:p w14:paraId="6E37A219" w14:textId="77777777" w:rsidR="008B3B9F" w:rsidRPr="00BD4906" w:rsidRDefault="00000000" w:rsidP="00BD4906">
      <w:pPr>
        <w:numPr>
          <w:ilvl w:val="0"/>
          <w:numId w:val="15"/>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 xml:space="preserve">Sujeto activo y </w:t>
      </w:r>
      <w:proofErr w:type="spellStart"/>
      <w:r w:rsidRPr="00BD4906">
        <w:rPr>
          <w:rFonts w:ascii="Aptos" w:eastAsia="source serif 4" w:hAnsi="Aptos" w:cs="source serif 4"/>
          <w:b/>
          <w:color w:val="000000"/>
          <w:sz w:val="20"/>
          <w:szCs w:val="20"/>
        </w:rPr>
        <w:t>agéntico</w:t>
      </w:r>
      <w:proofErr w:type="spellEnd"/>
      <w:r w:rsidRPr="00BD4906">
        <w:rPr>
          <w:rFonts w:ascii="Aptos" w:eastAsia="source serif 4" w:hAnsi="Aptos" w:cs="source serif 4"/>
          <w:color w:val="000000"/>
          <w:sz w:val="20"/>
          <w:szCs w:val="20"/>
        </w:rPr>
        <w:t xml:space="preserve">: frente a explicaciones reduccionistas, la PS concibe a la persona como capaz de cambiar activamente su comportamiento, sus rutinas e incluso modificar el contexto y las instituciones que </w:t>
      </w:r>
      <w:proofErr w:type="gramStart"/>
      <w:r w:rsidRPr="00BD4906">
        <w:rPr>
          <w:rFonts w:ascii="Aptos" w:eastAsia="source serif 4" w:hAnsi="Aptos" w:cs="source serif 4"/>
          <w:color w:val="000000"/>
          <w:sz w:val="20"/>
          <w:szCs w:val="20"/>
        </w:rPr>
        <w:t>habita.[</w:t>
      </w:r>
      <w:proofErr w:type="gramEnd"/>
      <w:r w:rsidRPr="00BD4906">
        <w:rPr>
          <w:rFonts w:ascii="Aptos" w:eastAsia="source serif 4" w:hAnsi="Aptos" w:cs="source serif 4"/>
          <w:color w:val="000000"/>
          <w:sz w:val="20"/>
          <w:szCs w:val="20"/>
        </w:rPr>
        <w:t>^1]</w:t>
      </w:r>
    </w:p>
    <w:p w14:paraId="675280C8" w14:textId="77777777" w:rsidR="008B3B9F" w:rsidRPr="00BD4906" w:rsidRDefault="00000000" w:rsidP="00BD4906">
      <w:pPr>
        <w:spacing w:after="0" w:line="240" w:lineRule="auto"/>
        <w:rPr>
          <w:rFonts w:ascii="Aptos" w:hAnsi="Aptos"/>
          <w:sz w:val="20"/>
          <w:szCs w:val="20"/>
        </w:rPr>
      </w:pPr>
      <w:r w:rsidRPr="00BD4906">
        <w:rPr>
          <w:rFonts w:ascii="Aptos" w:eastAsia="source serif 4" w:hAnsi="Aptos" w:cs="source serif 4"/>
          <w:color w:val="000000"/>
          <w:sz w:val="20"/>
          <w:szCs w:val="20"/>
        </w:rPr>
        <w:t xml:space="preserve">Finalmente, la definición de Allport se ajusta perfectamente al marco de </w:t>
      </w:r>
      <w:proofErr w:type="spellStart"/>
      <w:r w:rsidRPr="00BD4906">
        <w:rPr>
          <w:rFonts w:ascii="Aptos" w:eastAsia="source serif 4" w:hAnsi="Aptos" w:cs="source serif 4"/>
          <w:color w:val="000000"/>
          <w:sz w:val="20"/>
          <w:szCs w:val="20"/>
        </w:rPr>
        <w:t>Stangor</w:t>
      </w:r>
      <w:proofErr w:type="spellEnd"/>
      <w:r w:rsidRPr="00BD4906">
        <w:rPr>
          <w:rFonts w:ascii="Aptos" w:eastAsia="source serif 4" w:hAnsi="Aptos" w:cs="source serif 4"/>
          <w:color w:val="000000"/>
          <w:sz w:val="20"/>
          <w:szCs w:val="20"/>
        </w:rPr>
        <w:t xml:space="preserve"> y </w:t>
      </w:r>
      <w:proofErr w:type="spellStart"/>
      <w:r w:rsidRPr="00BD4906">
        <w:rPr>
          <w:rFonts w:ascii="Aptos" w:eastAsia="source serif 4" w:hAnsi="Aptos" w:cs="source serif 4"/>
          <w:color w:val="000000"/>
          <w:sz w:val="20"/>
          <w:szCs w:val="20"/>
        </w:rPr>
        <w:t>Jost</w:t>
      </w:r>
      <w:proofErr w:type="spellEnd"/>
      <w:r w:rsidRPr="00BD4906">
        <w:rPr>
          <w:rFonts w:ascii="Aptos" w:eastAsia="source serif 4" w:hAnsi="Aptos" w:cs="source serif 4"/>
          <w:color w:val="000000"/>
          <w:sz w:val="20"/>
          <w:szCs w:val="20"/>
        </w:rPr>
        <w:t xml:space="preserve">: la influencia de "otras personas" que menciona la definición abarca contextos cada vez más amplios e interconectados —desde la presencia física inmediata hasta la presencia implícita de instituciones y sistemas—, lo cual explica por qué la complejidad de los procesos psicosociales no es un obstáculo para su definición unificada, sino, precisamente, la fuente de su riqueza </w:t>
      </w:r>
      <w:proofErr w:type="gramStart"/>
      <w:r w:rsidRPr="00BD4906">
        <w:rPr>
          <w:rFonts w:ascii="Aptos" w:eastAsia="source serif 4" w:hAnsi="Aptos" w:cs="source serif 4"/>
          <w:color w:val="000000"/>
          <w:sz w:val="20"/>
          <w:szCs w:val="20"/>
        </w:rPr>
        <w:t>conceptual.[</w:t>
      </w:r>
      <w:proofErr w:type="gramEnd"/>
      <w:r w:rsidRPr="00BD4906">
        <w:rPr>
          <w:rFonts w:ascii="Aptos" w:eastAsia="source serif 4" w:hAnsi="Aptos" w:cs="source serif 4"/>
          <w:color w:val="000000"/>
          <w:sz w:val="20"/>
          <w:szCs w:val="20"/>
        </w:rPr>
        <w:t>^2]</w:t>
      </w:r>
    </w:p>
    <w:p w14:paraId="3B1CF4DD" w14:textId="77777777" w:rsidR="00BD4906" w:rsidRDefault="00BD4906" w:rsidP="00BD4906">
      <w:pPr>
        <w:spacing w:after="0" w:line="240" w:lineRule="auto"/>
        <w:ind w:left="-30"/>
        <w:rPr>
          <w:rFonts w:ascii="Aptos" w:eastAsiaTheme="minorEastAsia" w:hAnsi="Aptos" w:cs="source serif 4"/>
          <w:b/>
          <w:color w:val="000000"/>
          <w:sz w:val="20"/>
          <w:szCs w:val="20"/>
          <w:lang w:eastAsia="ko-KR"/>
        </w:rPr>
      </w:pPr>
      <w:bookmarkStart w:id="32" w:name="glosario_clave_para_el_examen"/>
    </w:p>
    <w:p w14:paraId="6323617B" w14:textId="777ABFCC" w:rsidR="008B3B9F" w:rsidRPr="00BD4906" w:rsidRDefault="00000000" w:rsidP="00BD4906">
      <w:pPr>
        <w:spacing w:after="0" w:line="240" w:lineRule="auto"/>
        <w:ind w:left="-30"/>
        <w:rPr>
          <w:rFonts w:ascii="Aptos" w:hAnsi="Aptos"/>
          <w:sz w:val="20"/>
          <w:szCs w:val="20"/>
        </w:rPr>
      </w:pPr>
      <w:r w:rsidRPr="00BD4906">
        <w:rPr>
          <w:rFonts w:ascii="Aptos" w:eastAsia="source serif 4" w:hAnsi="Aptos" w:cs="source serif 4"/>
          <w:b/>
          <w:color w:val="000000"/>
          <w:sz w:val="20"/>
          <w:szCs w:val="20"/>
        </w:rPr>
        <w:t>Glosario clave para el examen</w:t>
      </w:r>
      <w:bookmarkEnd w:id="32"/>
    </w:p>
    <w:p w14:paraId="5F5F89F1" w14:textId="77777777" w:rsidR="008B3B9F" w:rsidRPr="00BD4906" w:rsidRDefault="00000000" w:rsidP="00BD4906">
      <w:pPr>
        <w:numPr>
          <w:ilvl w:val="0"/>
          <w:numId w:val="16"/>
        </w:numPr>
        <w:spacing w:after="0" w:line="240" w:lineRule="auto"/>
        <w:ind w:firstLine="0"/>
        <w:rPr>
          <w:rFonts w:ascii="Aptos" w:hAnsi="Aptos"/>
          <w:sz w:val="20"/>
          <w:szCs w:val="20"/>
        </w:rPr>
      </w:pPr>
      <w:proofErr w:type="spellStart"/>
      <w:r w:rsidRPr="00BD4906">
        <w:rPr>
          <w:rFonts w:ascii="Aptos" w:eastAsia="source serif 4" w:hAnsi="Aptos" w:cs="source serif 4"/>
          <w:b/>
          <w:color w:val="000000"/>
          <w:sz w:val="20"/>
          <w:szCs w:val="20"/>
        </w:rPr>
        <w:t>Autoensalzamiento</w:t>
      </w:r>
      <w:proofErr w:type="spellEnd"/>
      <w:r w:rsidRPr="00BD4906">
        <w:rPr>
          <w:rFonts w:ascii="Aptos" w:eastAsia="source serif 4" w:hAnsi="Aptos" w:cs="source serif 4"/>
          <w:b/>
          <w:color w:val="000000"/>
          <w:sz w:val="20"/>
          <w:szCs w:val="20"/>
        </w:rPr>
        <w:t xml:space="preserve"> (motivo de)</w:t>
      </w:r>
      <w:r w:rsidRPr="00BD4906">
        <w:rPr>
          <w:rFonts w:ascii="Aptos" w:eastAsia="source serif 4" w:hAnsi="Aptos" w:cs="source serif 4"/>
          <w:color w:val="000000"/>
          <w:sz w:val="20"/>
          <w:szCs w:val="20"/>
        </w:rPr>
        <w:t xml:space="preserve">: motivación básica de evaluarse a sí mismo y al propio grupo de forma </w:t>
      </w:r>
      <w:proofErr w:type="gramStart"/>
      <w:r w:rsidRPr="00BD4906">
        <w:rPr>
          <w:rFonts w:ascii="Aptos" w:eastAsia="source serif 4" w:hAnsi="Aptos" w:cs="source serif 4"/>
          <w:color w:val="000000"/>
          <w:sz w:val="20"/>
          <w:szCs w:val="20"/>
        </w:rPr>
        <w:t>positiva.[</w:t>
      </w:r>
      <w:proofErr w:type="gramEnd"/>
      <w:r w:rsidRPr="00BD4906">
        <w:rPr>
          <w:rFonts w:ascii="Aptos" w:eastAsia="source serif 4" w:hAnsi="Aptos" w:cs="source serif 4"/>
          <w:color w:val="000000"/>
          <w:sz w:val="20"/>
          <w:szCs w:val="20"/>
        </w:rPr>
        <w:t>^2]</w:t>
      </w:r>
    </w:p>
    <w:p w14:paraId="6F3BCFB8" w14:textId="77777777" w:rsidR="008B3B9F" w:rsidRPr="00BD4906" w:rsidRDefault="00000000" w:rsidP="00BD4906">
      <w:pPr>
        <w:numPr>
          <w:ilvl w:val="0"/>
          <w:numId w:val="1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Escalas bipolares vs. unipolares</w:t>
      </w:r>
      <w:r w:rsidRPr="00BD4906">
        <w:rPr>
          <w:rFonts w:ascii="Aptos" w:eastAsia="source serif 4" w:hAnsi="Aptos" w:cs="source serif 4"/>
          <w:color w:val="000000"/>
          <w:sz w:val="20"/>
          <w:szCs w:val="20"/>
        </w:rPr>
        <w:t xml:space="preserve">: las bipolares fuerzan a elegir un polo (positivo o negativo) de un rasgo; las unipolares permiten atribuir simultáneamente ambos polos, siendo la herramienta clave para medir ambivalencia </w:t>
      </w:r>
      <w:proofErr w:type="gramStart"/>
      <w:r w:rsidRPr="00BD4906">
        <w:rPr>
          <w:rFonts w:ascii="Aptos" w:eastAsia="source serif 4" w:hAnsi="Aptos" w:cs="source serif 4"/>
          <w:color w:val="000000"/>
          <w:sz w:val="20"/>
          <w:szCs w:val="20"/>
        </w:rPr>
        <w:t>actitudinal.[</w:t>
      </w:r>
      <w:proofErr w:type="gramEnd"/>
      <w:r w:rsidRPr="00BD4906">
        <w:rPr>
          <w:rFonts w:ascii="Aptos" w:eastAsia="source serif 4" w:hAnsi="Aptos" w:cs="source serif 4"/>
          <w:color w:val="000000"/>
          <w:sz w:val="20"/>
          <w:szCs w:val="20"/>
        </w:rPr>
        <w:t>^2]</w:t>
      </w:r>
    </w:p>
    <w:p w14:paraId="649CB8A2" w14:textId="77777777" w:rsidR="008B3B9F" w:rsidRPr="00BD4906" w:rsidRDefault="00000000" w:rsidP="00BD4906">
      <w:pPr>
        <w:numPr>
          <w:ilvl w:val="0"/>
          <w:numId w:val="16"/>
        </w:numPr>
        <w:spacing w:after="0" w:line="240" w:lineRule="auto"/>
        <w:ind w:firstLine="0"/>
        <w:rPr>
          <w:rFonts w:ascii="Aptos" w:hAnsi="Aptos"/>
          <w:sz w:val="20"/>
          <w:szCs w:val="20"/>
        </w:rPr>
      </w:pPr>
      <w:proofErr w:type="spellStart"/>
      <w:r w:rsidRPr="00BD4906">
        <w:rPr>
          <w:rFonts w:ascii="Aptos" w:eastAsia="source serif 4" w:hAnsi="Aptos" w:cs="source serif 4"/>
          <w:b/>
          <w:color w:val="000000"/>
          <w:sz w:val="20"/>
          <w:szCs w:val="20"/>
        </w:rPr>
        <w:t>Etnofaulismo</w:t>
      </w:r>
      <w:proofErr w:type="spellEnd"/>
      <w:r w:rsidRPr="00BD4906">
        <w:rPr>
          <w:rFonts w:ascii="Aptos" w:eastAsia="source serif 4" w:hAnsi="Aptos" w:cs="source serif 4"/>
          <w:color w:val="000000"/>
          <w:sz w:val="20"/>
          <w:szCs w:val="20"/>
        </w:rPr>
        <w:t xml:space="preserve">: término (peyorativo) que un grupo usa para referirse a un exogrupo </w:t>
      </w:r>
      <w:proofErr w:type="gramStart"/>
      <w:r w:rsidRPr="00BD4906">
        <w:rPr>
          <w:rFonts w:ascii="Aptos" w:eastAsia="source serif 4" w:hAnsi="Aptos" w:cs="source serif 4"/>
          <w:color w:val="000000"/>
          <w:sz w:val="20"/>
          <w:szCs w:val="20"/>
        </w:rPr>
        <w:t>étnico.[</w:t>
      </w:r>
      <w:proofErr w:type="gramEnd"/>
      <w:r w:rsidRPr="00BD4906">
        <w:rPr>
          <w:rFonts w:ascii="Aptos" w:eastAsia="source serif 4" w:hAnsi="Aptos" w:cs="source serif 4"/>
          <w:color w:val="000000"/>
          <w:sz w:val="20"/>
          <w:szCs w:val="20"/>
        </w:rPr>
        <w:t>^2]</w:t>
      </w:r>
    </w:p>
    <w:p w14:paraId="6B64032E" w14:textId="77777777" w:rsidR="008B3B9F" w:rsidRPr="00BD4906" w:rsidRDefault="00000000" w:rsidP="00BD4906">
      <w:pPr>
        <w:numPr>
          <w:ilvl w:val="0"/>
          <w:numId w:val="1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Identidad Social</w:t>
      </w:r>
      <w:r w:rsidRPr="00BD4906">
        <w:rPr>
          <w:rFonts w:ascii="Aptos" w:eastAsia="source serif 4" w:hAnsi="Aptos" w:cs="source serif 4"/>
          <w:color w:val="000000"/>
          <w:sz w:val="20"/>
          <w:szCs w:val="20"/>
        </w:rPr>
        <w:t xml:space="preserve">: porción del autoconcepto derivada de la pertenencia a grupos sociales </w:t>
      </w:r>
      <w:proofErr w:type="gramStart"/>
      <w:r w:rsidRPr="00BD4906">
        <w:rPr>
          <w:rFonts w:ascii="Aptos" w:eastAsia="source serif 4" w:hAnsi="Aptos" w:cs="source serif 4"/>
          <w:color w:val="000000"/>
          <w:sz w:val="20"/>
          <w:szCs w:val="20"/>
        </w:rPr>
        <w:t>valorados.[</w:t>
      </w:r>
      <w:proofErr w:type="gramEnd"/>
      <w:r w:rsidRPr="00BD4906">
        <w:rPr>
          <w:rFonts w:ascii="Aptos" w:eastAsia="source serif 4" w:hAnsi="Aptos" w:cs="source serif 4"/>
          <w:color w:val="000000"/>
          <w:sz w:val="20"/>
          <w:szCs w:val="20"/>
        </w:rPr>
        <w:t>^2]</w:t>
      </w:r>
    </w:p>
    <w:p w14:paraId="76DADDDD" w14:textId="77777777" w:rsidR="008B3B9F" w:rsidRPr="00BD4906" w:rsidRDefault="00000000" w:rsidP="00BD4906">
      <w:pPr>
        <w:numPr>
          <w:ilvl w:val="0"/>
          <w:numId w:val="1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Justificación del sistema (motivo de)</w:t>
      </w:r>
      <w:r w:rsidRPr="00BD4906">
        <w:rPr>
          <w:rFonts w:ascii="Aptos" w:eastAsia="source serif 4" w:hAnsi="Aptos" w:cs="source serif 4"/>
          <w:color w:val="000000"/>
          <w:sz w:val="20"/>
          <w:szCs w:val="20"/>
        </w:rPr>
        <w:t xml:space="preserve">: tendencia a defender y legitimar el orden social existente, aun siendo desfavorable para uno </w:t>
      </w:r>
      <w:proofErr w:type="gramStart"/>
      <w:r w:rsidRPr="00BD4906">
        <w:rPr>
          <w:rFonts w:ascii="Aptos" w:eastAsia="source serif 4" w:hAnsi="Aptos" w:cs="source serif 4"/>
          <w:color w:val="000000"/>
          <w:sz w:val="20"/>
          <w:szCs w:val="20"/>
        </w:rPr>
        <w:t>mismo.[</w:t>
      </w:r>
      <w:proofErr w:type="gramEnd"/>
      <w:r w:rsidRPr="00BD4906">
        <w:rPr>
          <w:rFonts w:ascii="Aptos" w:eastAsia="source serif 4" w:hAnsi="Aptos" w:cs="source serif 4"/>
          <w:color w:val="000000"/>
          <w:sz w:val="20"/>
          <w:szCs w:val="20"/>
        </w:rPr>
        <w:t>^2]</w:t>
      </w:r>
    </w:p>
    <w:p w14:paraId="457E65B0" w14:textId="77777777" w:rsidR="008B3B9F" w:rsidRPr="00BD4906" w:rsidRDefault="00000000" w:rsidP="00BD4906">
      <w:pPr>
        <w:numPr>
          <w:ilvl w:val="0"/>
          <w:numId w:val="1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lastRenderedPageBreak/>
        <w:t>Distintividad social positiva</w:t>
      </w:r>
      <w:r w:rsidRPr="00BD4906">
        <w:rPr>
          <w:rFonts w:ascii="Aptos" w:eastAsia="source serif 4" w:hAnsi="Aptos" w:cs="source serif 4"/>
          <w:color w:val="000000"/>
          <w:sz w:val="20"/>
          <w:szCs w:val="20"/>
        </w:rPr>
        <w:t xml:space="preserve">: resultado de una comparación intergrupal favorable al </w:t>
      </w:r>
      <w:proofErr w:type="spellStart"/>
      <w:r w:rsidRPr="00BD4906">
        <w:rPr>
          <w:rFonts w:ascii="Aptos" w:eastAsia="source serif 4" w:hAnsi="Aptos" w:cs="source serif 4"/>
          <w:color w:val="000000"/>
          <w:sz w:val="20"/>
          <w:szCs w:val="20"/>
        </w:rPr>
        <w:t>endogrupo</w:t>
      </w:r>
      <w:proofErr w:type="spellEnd"/>
      <w:r w:rsidRPr="00BD4906">
        <w:rPr>
          <w:rFonts w:ascii="Aptos" w:eastAsia="source serif 4" w:hAnsi="Aptos" w:cs="source serif 4"/>
          <w:color w:val="000000"/>
          <w:sz w:val="20"/>
          <w:szCs w:val="20"/>
        </w:rPr>
        <w:t>, base de la identidad social positiva.[</w:t>
      </w:r>
      <w:r w:rsidRPr="00BD4906">
        <w:rPr>
          <w:rFonts w:ascii="Aptos" w:eastAsia="source serif 4" w:hAnsi="Aptos" w:cs="source serif 4"/>
          <w:color w:val="000000"/>
          <w:sz w:val="20"/>
          <w:szCs w:val="20"/>
          <w:vertAlign w:val="superscript"/>
        </w:rPr>
        <w:t>1][</w:t>
      </w:r>
      <w:r w:rsidRPr="00BD4906">
        <w:rPr>
          <w:rFonts w:ascii="Aptos" w:eastAsia="source serif 4" w:hAnsi="Aptos" w:cs="source serif 4"/>
          <w:color w:val="000000"/>
          <w:sz w:val="20"/>
          <w:szCs w:val="20"/>
        </w:rPr>
        <w:t>2]</w:t>
      </w:r>
    </w:p>
    <w:p w14:paraId="1D0FFB43" w14:textId="77777777" w:rsidR="008B3B9F" w:rsidRPr="00BD4906" w:rsidRDefault="00000000" w:rsidP="00BD4906">
      <w:pPr>
        <w:numPr>
          <w:ilvl w:val="0"/>
          <w:numId w:val="16"/>
        </w:numPr>
        <w:spacing w:after="0" w:line="240" w:lineRule="auto"/>
        <w:ind w:firstLine="0"/>
        <w:rPr>
          <w:rFonts w:ascii="Aptos" w:hAnsi="Aptos"/>
          <w:sz w:val="20"/>
          <w:szCs w:val="20"/>
        </w:rPr>
      </w:pPr>
      <w:r w:rsidRPr="00BD4906">
        <w:rPr>
          <w:rFonts w:ascii="Aptos" w:eastAsia="source serif 4" w:hAnsi="Aptos" w:cs="source serif 4"/>
          <w:b/>
          <w:color w:val="000000"/>
          <w:sz w:val="20"/>
          <w:szCs w:val="20"/>
        </w:rPr>
        <w:t>Crisis de legitimación</w:t>
      </w:r>
      <w:r w:rsidRPr="00BD4906">
        <w:rPr>
          <w:rFonts w:ascii="Aptos" w:eastAsia="source serif 4" w:hAnsi="Aptos" w:cs="source serif 4"/>
          <w:color w:val="000000"/>
          <w:sz w:val="20"/>
          <w:szCs w:val="20"/>
        </w:rPr>
        <w:t xml:space="preserve">: tensión entre justificación del ego, del grupo y del sistema, propia de los grupos de estatus </w:t>
      </w:r>
      <w:proofErr w:type="gramStart"/>
      <w:r w:rsidRPr="00BD4906">
        <w:rPr>
          <w:rFonts w:ascii="Aptos" w:eastAsia="source serif 4" w:hAnsi="Aptos" w:cs="source serif 4"/>
          <w:color w:val="000000"/>
          <w:sz w:val="20"/>
          <w:szCs w:val="20"/>
        </w:rPr>
        <w:t>bajo.[</w:t>
      </w:r>
      <w:proofErr w:type="gramEnd"/>
      <w:r w:rsidRPr="00BD4906">
        <w:rPr>
          <w:rFonts w:ascii="Aptos" w:eastAsia="source serif 4" w:hAnsi="Aptos" w:cs="source serif 4"/>
          <w:color w:val="000000"/>
          <w:sz w:val="20"/>
          <w:szCs w:val="20"/>
        </w:rPr>
        <w:t>^2]</w:t>
      </w:r>
    </w:p>
    <w:p w14:paraId="09270984" w14:textId="77777777" w:rsidR="008B3B9F" w:rsidRPr="00BD4906" w:rsidRDefault="00000000" w:rsidP="00BD4906">
      <w:pPr>
        <w:spacing w:after="0" w:line="240" w:lineRule="auto"/>
        <w:rPr>
          <w:rFonts w:ascii="Aptos" w:hAnsi="Aptos"/>
          <w:sz w:val="20"/>
          <w:szCs w:val="20"/>
        </w:rPr>
      </w:pPr>
      <w:r>
        <w:rPr>
          <w:rFonts w:ascii="Aptos" w:hAnsi="Aptos"/>
          <w:noProof/>
          <w:sz w:val="20"/>
          <w:szCs w:val="20"/>
        </w:rPr>
      </w:r>
      <w:r>
        <w:rPr>
          <w:rFonts w:ascii="Aptos" w:hAnsi="Aptos"/>
          <w:noProof/>
          <w:sz w:val="20"/>
          <w:szCs w:val="20"/>
        </w:rPr>
        <w:pict w14:anchorId="445ADEA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A4CE11" w14:textId="77777777" w:rsidR="008B3B9F" w:rsidRPr="00BD4906" w:rsidRDefault="00000000" w:rsidP="00BD4906">
      <w:pPr>
        <w:spacing w:after="0" w:line="240" w:lineRule="auto"/>
        <w:ind w:left="-30"/>
        <w:rPr>
          <w:rFonts w:ascii="Aptos" w:hAnsi="Aptos"/>
          <w:sz w:val="20"/>
          <w:szCs w:val="20"/>
        </w:rPr>
      </w:pPr>
      <w:bookmarkStart w:id="33" w:name="references"/>
      <w:proofErr w:type="spellStart"/>
      <w:r w:rsidRPr="00BD4906">
        <w:rPr>
          <w:rFonts w:ascii="Aptos" w:eastAsia="source serif 4" w:hAnsi="Aptos" w:cs="source serif 4"/>
          <w:b/>
          <w:color w:val="000000"/>
          <w:sz w:val="20"/>
          <w:szCs w:val="20"/>
        </w:rPr>
        <w:t>References</w:t>
      </w:r>
      <w:bookmarkEnd w:id="33"/>
      <w:proofErr w:type="spellEnd"/>
    </w:p>
    <w:p w14:paraId="02823619" w14:textId="77777777" w:rsidR="008B3B9F" w:rsidRPr="00BD4906" w:rsidRDefault="008B3B9F" w:rsidP="00BD4906">
      <w:pPr>
        <w:numPr>
          <w:ilvl w:val="0"/>
          <w:numId w:val="17"/>
        </w:numPr>
        <w:spacing w:after="0" w:line="240" w:lineRule="auto"/>
        <w:ind w:firstLine="0"/>
        <w:rPr>
          <w:rFonts w:ascii="Aptos" w:hAnsi="Aptos"/>
          <w:sz w:val="20"/>
          <w:szCs w:val="20"/>
        </w:rPr>
      </w:pPr>
      <w:hyperlink r:id="rId5">
        <w:r w:rsidRPr="00BD4906">
          <w:rPr>
            <w:rFonts w:ascii="Aptos" w:eastAsia="source sans 3" w:hAnsi="Aptos" w:cs="source sans 3"/>
            <w:sz w:val="20"/>
            <w:szCs w:val="20"/>
            <w:u w:val="single"/>
          </w:rPr>
          <w:t>Morales-et-al.-2007-Cap.-1.pdf</w:t>
        </w:r>
      </w:hyperlink>
    </w:p>
    <w:p w14:paraId="58622157" w14:textId="77777777" w:rsidR="008B3B9F" w:rsidRPr="00BD4906" w:rsidRDefault="008B3B9F" w:rsidP="00BD4906">
      <w:pPr>
        <w:numPr>
          <w:ilvl w:val="0"/>
          <w:numId w:val="17"/>
        </w:numPr>
        <w:spacing w:after="0" w:line="240" w:lineRule="auto"/>
        <w:ind w:firstLine="0"/>
        <w:rPr>
          <w:rFonts w:ascii="Aptos" w:hAnsi="Aptos"/>
          <w:sz w:val="20"/>
          <w:szCs w:val="20"/>
        </w:rPr>
      </w:pPr>
      <w:hyperlink r:id="rId6">
        <w:r w:rsidRPr="00BD4906">
          <w:rPr>
            <w:rFonts w:ascii="Aptos" w:eastAsia="source sans 3" w:hAnsi="Aptos" w:cs="source sans 3"/>
            <w:sz w:val="20"/>
            <w:szCs w:val="20"/>
            <w:u w:val="single"/>
          </w:rPr>
          <w:t>Psicologia-social-clase-1-2026.pdf</w:t>
        </w:r>
      </w:hyperlink>
    </w:p>
    <w:sectPr w:rsidR="008B3B9F" w:rsidRPr="00BD4906" w:rsidSect="00076C48">
      <w:pgSz w:w="12240" w:h="15840" w:code="1"/>
      <w:pgMar w:top="1365" w:right="1365" w:bottom="1365" w:left="1365"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002E"/>
    <w:multiLevelType w:val="hybridMultilevel"/>
    <w:tmpl w:val="4254E344"/>
    <w:lvl w:ilvl="0" w:tplc="3634E2C0">
      <w:start w:val="1"/>
      <w:numFmt w:val="bullet"/>
      <w:lvlText w:val=""/>
      <w:lvlJc w:val="left"/>
      <w:pPr>
        <w:tabs>
          <w:tab w:val="num" w:pos="900"/>
        </w:tabs>
        <w:ind w:left="540" w:hanging="360"/>
      </w:pPr>
      <w:rPr>
        <w:rFonts w:ascii="Symbol" w:hAnsi="Symbol" w:hint="default"/>
      </w:rPr>
    </w:lvl>
    <w:lvl w:ilvl="1" w:tplc="853A88B8">
      <w:numFmt w:val="decimal"/>
      <w:lvlText w:val=""/>
      <w:lvlJc w:val="left"/>
    </w:lvl>
    <w:lvl w:ilvl="2" w:tplc="88300086">
      <w:numFmt w:val="decimal"/>
      <w:lvlText w:val=""/>
      <w:lvlJc w:val="left"/>
    </w:lvl>
    <w:lvl w:ilvl="3" w:tplc="935EEBF6">
      <w:numFmt w:val="decimal"/>
      <w:lvlText w:val=""/>
      <w:lvlJc w:val="left"/>
    </w:lvl>
    <w:lvl w:ilvl="4" w:tplc="E4BCB106">
      <w:numFmt w:val="decimal"/>
      <w:lvlText w:val=""/>
      <w:lvlJc w:val="left"/>
    </w:lvl>
    <w:lvl w:ilvl="5" w:tplc="E1E6EB52">
      <w:numFmt w:val="decimal"/>
      <w:lvlText w:val=""/>
      <w:lvlJc w:val="left"/>
    </w:lvl>
    <w:lvl w:ilvl="6" w:tplc="57DAAA5C">
      <w:numFmt w:val="decimal"/>
      <w:lvlText w:val=""/>
      <w:lvlJc w:val="left"/>
    </w:lvl>
    <w:lvl w:ilvl="7" w:tplc="0D94647C">
      <w:numFmt w:val="decimal"/>
      <w:lvlText w:val=""/>
      <w:lvlJc w:val="left"/>
    </w:lvl>
    <w:lvl w:ilvl="8" w:tplc="4A4A642A">
      <w:numFmt w:val="decimal"/>
      <w:lvlText w:val=""/>
      <w:lvlJc w:val="left"/>
    </w:lvl>
  </w:abstractNum>
  <w:abstractNum w:abstractNumId="1" w15:restartNumberingAfterBreak="0">
    <w:nsid w:val="055117A1"/>
    <w:multiLevelType w:val="hybridMultilevel"/>
    <w:tmpl w:val="7B5A977A"/>
    <w:lvl w:ilvl="0" w:tplc="BBDC5D0C">
      <w:start w:val="1"/>
      <w:numFmt w:val="bullet"/>
      <w:lvlText w:val=""/>
      <w:lvlJc w:val="left"/>
      <w:pPr>
        <w:tabs>
          <w:tab w:val="num" w:pos="900"/>
        </w:tabs>
        <w:ind w:left="540" w:hanging="360"/>
      </w:pPr>
      <w:rPr>
        <w:rFonts w:ascii="Symbol" w:hAnsi="Symbol" w:hint="default"/>
      </w:rPr>
    </w:lvl>
    <w:lvl w:ilvl="1" w:tplc="18AE4212">
      <w:numFmt w:val="decimal"/>
      <w:lvlText w:val=""/>
      <w:lvlJc w:val="left"/>
    </w:lvl>
    <w:lvl w:ilvl="2" w:tplc="0C54341E">
      <w:numFmt w:val="decimal"/>
      <w:lvlText w:val=""/>
      <w:lvlJc w:val="left"/>
    </w:lvl>
    <w:lvl w:ilvl="3" w:tplc="B1663778">
      <w:numFmt w:val="decimal"/>
      <w:lvlText w:val=""/>
      <w:lvlJc w:val="left"/>
    </w:lvl>
    <w:lvl w:ilvl="4" w:tplc="56267ECA">
      <w:numFmt w:val="decimal"/>
      <w:lvlText w:val=""/>
      <w:lvlJc w:val="left"/>
    </w:lvl>
    <w:lvl w:ilvl="5" w:tplc="833E632C">
      <w:numFmt w:val="decimal"/>
      <w:lvlText w:val=""/>
      <w:lvlJc w:val="left"/>
    </w:lvl>
    <w:lvl w:ilvl="6" w:tplc="2B907770">
      <w:numFmt w:val="decimal"/>
      <w:lvlText w:val=""/>
      <w:lvlJc w:val="left"/>
    </w:lvl>
    <w:lvl w:ilvl="7" w:tplc="9CE21DF4">
      <w:numFmt w:val="decimal"/>
      <w:lvlText w:val=""/>
      <w:lvlJc w:val="left"/>
    </w:lvl>
    <w:lvl w:ilvl="8" w:tplc="7E18FE66">
      <w:numFmt w:val="decimal"/>
      <w:lvlText w:val=""/>
      <w:lvlJc w:val="left"/>
    </w:lvl>
  </w:abstractNum>
  <w:abstractNum w:abstractNumId="2" w15:restartNumberingAfterBreak="0">
    <w:nsid w:val="0A9F14C9"/>
    <w:multiLevelType w:val="hybridMultilevel"/>
    <w:tmpl w:val="32020808"/>
    <w:lvl w:ilvl="0" w:tplc="56A45B6E">
      <w:start w:val="1"/>
      <w:numFmt w:val="decimal"/>
      <w:lvlText w:val="%1."/>
      <w:lvlJc w:val="left"/>
      <w:pPr>
        <w:tabs>
          <w:tab w:val="num" w:pos="900"/>
        </w:tabs>
        <w:ind w:left="540" w:hanging="360"/>
      </w:pPr>
    </w:lvl>
    <w:lvl w:ilvl="1" w:tplc="23BC3420">
      <w:numFmt w:val="decimal"/>
      <w:lvlText w:val=""/>
      <w:lvlJc w:val="left"/>
    </w:lvl>
    <w:lvl w:ilvl="2" w:tplc="078A9D0C">
      <w:numFmt w:val="decimal"/>
      <w:lvlText w:val=""/>
      <w:lvlJc w:val="left"/>
    </w:lvl>
    <w:lvl w:ilvl="3" w:tplc="56381752">
      <w:numFmt w:val="decimal"/>
      <w:lvlText w:val=""/>
      <w:lvlJc w:val="left"/>
    </w:lvl>
    <w:lvl w:ilvl="4" w:tplc="F984BEE4">
      <w:numFmt w:val="decimal"/>
      <w:lvlText w:val=""/>
      <w:lvlJc w:val="left"/>
    </w:lvl>
    <w:lvl w:ilvl="5" w:tplc="B40A7AF2">
      <w:numFmt w:val="decimal"/>
      <w:lvlText w:val=""/>
      <w:lvlJc w:val="left"/>
    </w:lvl>
    <w:lvl w:ilvl="6" w:tplc="33C0C3A2">
      <w:numFmt w:val="decimal"/>
      <w:lvlText w:val=""/>
      <w:lvlJc w:val="left"/>
    </w:lvl>
    <w:lvl w:ilvl="7" w:tplc="D1BCD234">
      <w:numFmt w:val="decimal"/>
      <w:lvlText w:val=""/>
      <w:lvlJc w:val="left"/>
    </w:lvl>
    <w:lvl w:ilvl="8" w:tplc="A2E234DE">
      <w:numFmt w:val="decimal"/>
      <w:lvlText w:val=""/>
      <w:lvlJc w:val="left"/>
    </w:lvl>
  </w:abstractNum>
  <w:abstractNum w:abstractNumId="3" w15:restartNumberingAfterBreak="0">
    <w:nsid w:val="0D9116DE"/>
    <w:multiLevelType w:val="hybridMultilevel"/>
    <w:tmpl w:val="D4C667E4"/>
    <w:lvl w:ilvl="0" w:tplc="EB48E872">
      <w:start w:val="1"/>
      <w:numFmt w:val="bullet"/>
      <w:lvlText w:val=""/>
      <w:lvlJc w:val="left"/>
      <w:pPr>
        <w:tabs>
          <w:tab w:val="num" w:pos="900"/>
        </w:tabs>
        <w:ind w:left="540" w:hanging="360"/>
      </w:pPr>
      <w:rPr>
        <w:rFonts w:ascii="Symbol" w:hAnsi="Symbol" w:hint="default"/>
      </w:rPr>
    </w:lvl>
    <w:lvl w:ilvl="1" w:tplc="0ED6832A">
      <w:numFmt w:val="decimal"/>
      <w:lvlText w:val=""/>
      <w:lvlJc w:val="left"/>
    </w:lvl>
    <w:lvl w:ilvl="2" w:tplc="6048001E">
      <w:numFmt w:val="decimal"/>
      <w:lvlText w:val=""/>
      <w:lvlJc w:val="left"/>
    </w:lvl>
    <w:lvl w:ilvl="3" w:tplc="DBFCF246">
      <w:numFmt w:val="decimal"/>
      <w:lvlText w:val=""/>
      <w:lvlJc w:val="left"/>
    </w:lvl>
    <w:lvl w:ilvl="4" w:tplc="088EA338">
      <w:numFmt w:val="decimal"/>
      <w:lvlText w:val=""/>
      <w:lvlJc w:val="left"/>
    </w:lvl>
    <w:lvl w:ilvl="5" w:tplc="49D043F2">
      <w:numFmt w:val="decimal"/>
      <w:lvlText w:val=""/>
      <w:lvlJc w:val="left"/>
    </w:lvl>
    <w:lvl w:ilvl="6" w:tplc="1C2AD6A6">
      <w:numFmt w:val="decimal"/>
      <w:lvlText w:val=""/>
      <w:lvlJc w:val="left"/>
    </w:lvl>
    <w:lvl w:ilvl="7" w:tplc="1E0E7428">
      <w:numFmt w:val="decimal"/>
      <w:lvlText w:val=""/>
      <w:lvlJc w:val="left"/>
    </w:lvl>
    <w:lvl w:ilvl="8" w:tplc="87B21692">
      <w:numFmt w:val="decimal"/>
      <w:lvlText w:val=""/>
      <w:lvlJc w:val="left"/>
    </w:lvl>
  </w:abstractNum>
  <w:abstractNum w:abstractNumId="4" w15:restartNumberingAfterBreak="0">
    <w:nsid w:val="11854D87"/>
    <w:multiLevelType w:val="hybridMultilevel"/>
    <w:tmpl w:val="D0F4E068"/>
    <w:lvl w:ilvl="0" w:tplc="953EECBE">
      <w:start w:val="1"/>
      <w:numFmt w:val="bullet"/>
      <w:lvlText w:val=""/>
      <w:lvlJc w:val="left"/>
      <w:pPr>
        <w:tabs>
          <w:tab w:val="num" w:pos="900"/>
        </w:tabs>
        <w:ind w:left="540" w:hanging="360"/>
      </w:pPr>
      <w:rPr>
        <w:rFonts w:ascii="Symbol" w:hAnsi="Symbol" w:hint="default"/>
      </w:rPr>
    </w:lvl>
    <w:lvl w:ilvl="1" w:tplc="CCFEAC80">
      <w:numFmt w:val="decimal"/>
      <w:lvlText w:val=""/>
      <w:lvlJc w:val="left"/>
    </w:lvl>
    <w:lvl w:ilvl="2" w:tplc="2F6E1924">
      <w:numFmt w:val="decimal"/>
      <w:lvlText w:val=""/>
      <w:lvlJc w:val="left"/>
    </w:lvl>
    <w:lvl w:ilvl="3" w:tplc="DAA6CE56">
      <w:numFmt w:val="decimal"/>
      <w:lvlText w:val=""/>
      <w:lvlJc w:val="left"/>
    </w:lvl>
    <w:lvl w:ilvl="4" w:tplc="3954DE84">
      <w:numFmt w:val="decimal"/>
      <w:lvlText w:val=""/>
      <w:lvlJc w:val="left"/>
    </w:lvl>
    <w:lvl w:ilvl="5" w:tplc="31C6E7C2">
      <w:numFmt w:val="decimal"/>
      <w:lvlText w:val=""/>
      <w:lvlJc w:val="left"/>
    </w:lvl>
    <w:lvl w:ilvl="6" w:tplc="82BE3FD0">
      <w:numFmt w:val="decimal"/>
      <w:lvlText w:val=""/>
      <w:lvlJc w:val="left"/>
    </w:lvl>
    <w:lvl w:ilvl="7" w:tplc="6D1C2C28">
      <w:numFmt w:val="decimal"/>
      <w:lvlText w:val=""/>
      <w:lvlJc w:val="left"/>
    </w:lvl>
    <w:lvl w:ilvl="8" w:tplc="474C80B0">
      <w:numFmt w:val="decimal"/>
      <w:lvlText w:val=""/>
      <w:lvlJc w:val="left"/>
    </w:lvl>
  </w:abstractNum>
  <w:abstractNum w:abstractNumId="5" w15:restartNumberingAfterBreak="0">
    <w:nsid w:val="1A597038"/>
    <w:multiLevelType w:val="hybridMultilevel"/>
    <w:tmpl w:val="D7988D48"/>
    <w:lvl w:ilvl="0" w:tplc="75F26444">
      <w:start w:val="1"/>
      <w:numFmt w:val="bullet"/>
      <w:lvlText w:val=""/>
      <w:lvlJc w:val="left"/>
      <w:pPr>
        <w:tabs>
          <w:tab w:val="num" w:pos="900"/>
        </w:tabs>
        <w:ind w:left="540" w:hanging="360"/>
      </w:pPr>
      <w:rPr>
        <w:rFonts w:ascii="Symbol" w:hAnsi="Symbol" w:hint="default"/>
      </w:rPr>
    </w:lvl>
    <w:lvl w:ilvl="1" w:tplc="17E65808">
      <w:numFmt w:val="decimal"/>
      <w:lvlText w:val=""/>
      <w:lvlJc w:val="left"/>
    </w:lvl>
    <w:lvl w:ilvl="2" w:tplc="B6B26FD4">
      <w:numFmt w:val="decimal"/>
      <w:lvlText w:val=""/>
      <w:lvlJc w:val="left"/>
    </w:lvl>
    <w:lvl w:ilvl="3" w:tplc="B958EDA2">
      <w:numFmt w:val="decimal"/>
      <w:lvlText w:val=""/>
      <w:lvlJc w:val="left"/>
    </w:lvl>
    <w:lvl w:ilvl="4" w:tplc="F38609CC">
      <w:numFmt w:val="decimal"/>
      <w:lvlText w:val=""/>
      <w:lvlJc w:val="left"/>
    </w:lvl>
    <w:lvl w:ilvl="5" w:tplc="1A0EEDFE">
      <w:numFmt w:val="decimal"/>
      <w:lvlText w:val=""/>
      <w:lvlJc w:val="left"/>
    </w:lvl>
    <w:lvl w:ilvl="6" w:tplc="D7B4B98E">
      <w:numFmt w:val="decimal"/>
      <w:lvlText w:val=""/>
      <w:lvlJc w:val="left"/>
    </w:lvl>
    <w:lvl w:ilvl="7" w:tplc="2C44A636">
      <w:numFmt w:val="decimal"/>
      <w:lvlText w:val=""/>
      <w:lvlJc w:val="left"/>
    </w:lvl>
    <w:lvl w:ilvl="8" w:tplc="07B02E30">
      <w:numFmt w:val="decimal"/>
      <w:lvlText w:val=""/>
      <w:lvlJc w:val="left"/>
    </w:lvl>
  </w:abstractNum>
  <w:abstractNum w:abstractNumId="6" w15:restartNumberingAfterBreak="0">
    <w:nsid w:val="3CE43C06"/>
    <w:multiLevelType w:val="hybridMultilevel"/>
    <w:tmpl w:val="CB109E80"/>
    <w:lvl w:ilvl="0" w:tplc="119CDB2A">
      <w:start w:val="1"/>
      <w:numFmt w:val="decimal"/>
      <w:lvlText w:val="%1."/>
      <w:lvlJc w:val="left"/>
      <w:pPr>
        <w:tabs>
          <w:tab w:val="num" w:pos="900"/>
        </w:tabs>
        <w:ind w:left="540" w:hanging="360"/>
      </w:pPr>
    </w:lvl>
    <w:lvl w:ilvl="1" w:tplc="84983D82">
      <w:numFmt w:val="decimal"/>
      <w:lvlText w:val=""/>
      <w:lvlJc w:val="left"/>
    </w:lvl>
    <w:lvl w:ilvl="2" w:tplc="F0A46944">
      <w:numFmt w:val="decimal"/>
      <w:lvlText w:val=""/>
      <w:lvlJc w:val="left"/>
    </w:lvl>
    <w:lvl w:ilvl="3" w:tplc="B4D85C34">
      <w:numFmt w:val="decimal"/>
      <w:lvlText w:val=""/>
      <w:lvlJc w:val="left"/>
    </w:lvl>
    <w:lvl w:ilvl="4" w:tplc="CA70AED6">
      <w:numFmt w:val="decimal"/>
      <w:lvlText w:val=""/>
      <w:lvlJc w:val="left"/>
    </w:lvl>
    <w:lvl w:ilvl="5" w:tplc="EF286730">
      <w:numFmt w:val="decimal"/>
      <w:lvlText w:val=""/>
      <w:lvlJc w:val="left"/>
    </w:lvl>
    <w:lvl w:ilvl="6" w:tplc="02A8440C">
      <w:numFmt w:val="decimal"/>
      <w:lvlText w:val=""/>
      <w:lvlJc w:val="left"/>
    </w:lvl>
    <w:lvl w:ilvl="7" w:tplc="F64E9A46">
      <w:numFmt w:val="decimal"/>
      <w:lvlText w:val=""/>
      <w:lvlJc w:val="left"/>
    </w:lvl>
    <w:lvl w:ilvl="8" w:tplc="FD38E880">
      <w:numFmt w:val="decimal"/>
      <w:lvlText w:val=""/>
      <w:lvlJc w:val="left"/>
    </w:lvl>
  </w:abstractNum>
  <w:abstractNum w:abstractNumId="7" w15:restartNumberingAfterBreak="0">
    <w:nsid w:val="3D0D61BD"/>
    <w:multiLevelType w:val="hybridMultilevel"/>
    <w:tmpl w:val="988CBFAC"/>
    <w:lvl w:ilvl="0" w:tplc="9BD604F6">
      <w:start w:val="1"/>
      <w:numFmt w:val="decimal"/>
      <w:lvlText w:val="%1."/>
      <w:lvlJc w:val="left"/>
      <w:pPr>
        <w:tabs>
          <w:tab w:val="num" w:pos="900"/>
        </w:tabs>
        <w:ind w:left="540" w:hanging="360"/>
      </w:pPr>
    </w:lvl>
    <w:lvl w:ilvl="1" w:tplc="CB586C90">
      <w:numFmt w:val="decimal"/>
      <w:lvlText w:val=""/>
      <w:lvlJc w:val="left"/>
    </w:lvl>
    <w:lvl w:ilvl="2" w:tplc="4DEE271A">
      <w:numFmt w:val="decimal"/>
      <w:lvlText w:val=""/>
      <w:lvlJc w:val="left"/>
    </w:lvl>
    <w:lvl w:ilvl="3" w:tplc="885234F8">
      <w:numFmt w:val="decimal"/>
      <w:lvlText w:val=""/>
      <w:lvlJc w:val="left"/>
    </w:lvl>
    <w:lvl w:ilvl="4" w:tplc="5568E11C">
      <w:numFmt w:val="decimal"/>
      <w:lvlText w:val=""/>
      <w:lvlJc w:val="left"/>
    </w:lvl>
    <w:lvl w:ilvl="5" w:tplc="8A8EE716">
      <w:numFmt w:val="decimal"/>
      <w:lvlText w:val=""/>
      <w:lvlJc w:val="left"/>
    </w:lvl>
    <w:lvl w:ilvl="6" w:tplc="C96E1066">
      <w:numFmt w:val="decimal"/>
      <w:lvlText w:val=""/>
      <w:lvlJc w:val="left"/>
    </w:lvl>
    <w:lvl w:ilvl="7" w:tplc="5DBEA0A6">
      <w:numFmt w:val="decimal"/>
      <w:lvlText w:val=""/>
      <w:lvlJc w:val="left"/>
    </w:lvl>
    <w:lvl w:ilvl="8" w:tplc="7AE89F8C">
      <w:numFmt w:val="decimal"/>
      <w:lvlText w:val=""/>
      <w:lvlJc w:val="left"/>
    </w:lvl>
  </w:abstractNum>
  <w:abstractNum w:abstractNumId="8" w15:restartNumberingAfterBreak="0">
    <w:nsid w:val="4321797B"/>
    <w:multiLevelType w:val="hybridMultilevel"/>
    <w:tmpl w:val="520CE712"/>
    <w:lvl w:ilvl="0" w:tplc="2B0860C2">
      <w:start w:val="1"/>
      <w:numFmt w:val="bullet"/>
      <w:lvlText w:val=""/>
      <w:lvlJc w:val="left"/>
      <w:pPr>
        <w:tabs>
          <w:tab w:val="num" w:pos="900"/>
        </w:tabs>
        <w:ind w:left="540" w:hanging="360"/>
      </w:pPr>
      <w:rPr>
        <w:rFonts w:ascii="Symbol" w:hAnsi="Symbol" w:hint="default"/>
      </w:rPr>
    </w:lvl>
    <w:lvl w:ilvl="1" w:tplc="4F886B7A">
      <w:numFmt w:val="decimal"/>
      <w:lvlText w:val=""/>
      <w:lvlJc w:val="left"/>
    </w:lvl>
    <w:lvl w:ilvl="2" w:tplc="91DA0014">
      <w:numFmt w:val="decimal"/>
      <w:lvlText w:val=""/>
      <w:lvlJc w:val="left"/>
    </w:lvl>
    <w:lvl w:ilvl="3" w:tplc="4A5C4104">
      <w:numFmt w:val="decimal"/>
      <w:lvlText w:val=""/>
      <w:lvlJc w:val="left"/>
    </w:lvl>
    <w:lvl w:ilvl="4" w:tplc="AD02D884">
      <w:numFmt w:val="decimal"/>
      <w:lvlText w:val=""/>
      <w:lvlJc w:val="left"/>
    </w:lvl>
    <w:lvl w:ilvl="5" w:tplc="E6F0299E">
      <w:numFmt w:val="decimal"/>
      <w:lvlText w:val=""/>
      <w:lvlJc w:val="left"/>
    </w:lvl>
    <w:lvl w:ilvl="6" w:tplc="1CDC6A1A">
      <w:numFmt w:val="decimal"/>
      <w:lvlText w:val=""/>
      <w:lvlJc w:val="left"/>
    </w:lvl>
    <w:lvl w:ilvl="7" w:tplc="C05AB480">
      <w:numFmt w:val="decimal"/>
      <w:lvlText w:val=""/>
      <w:lvlJc w:val="left"/>
    </w:lvl>
    <w:lvl w:ilvl="8" w:tplc="1B1ED18E">
      <w:numFmt w:val="decimal"/>
      <w:lvlText w:val=""/>
      <w:lvlJc w:val="left"/>
    </w:lvl>
  </w:abstractNum>
  <w:abstractNum w:abstractNumId="9" w15:restartNumberingAfterBreak="0">
    <w:nsid w:val="44CE4393"/>
    <w:multiLevelType w:val="hybridMultilevel"/>
    <w:tmpl w:val="6086716E"/>
    <w:lvl w:ilvl="0" w:tplc="F564A3D0">
      <w:start w:val="1"/>
      <w:numFmt w:val="bullet"/>
      <w:lvlText w:val=""/>
      <w:lvlJc w:val="left"/>
      <w:pPr>
        <w:tabs>
          <w:tab w:val="num" w:pos="900"/>
        </w:tabs>
        <w:ind w:left="540" w:hanging="360"/>
      </w:pPr>
      <w:rPr>
        <w:rFonts w:ascii="Symbol" w:hAnsi="Symbol" w:hint="default"/>
      </w:rPr>
    </w:lvl>
    <w:lvl w:ilvl="1" w:tplc="032AD3CA">
      <w:numFmt w:val="decimal"/>
      <w:lvlText w:val=""/>
      <w:lvlJc w:val="left"/>
    </w:lvl>
    <w:lvl w:ilvl="2" w:tplc="6FCA363C">
      <w:numFmt w:val="decimal"/>
      <w:lvlText w:val=""/>
      <w:lvlJc w:val="left"/>
    </w:lvl>
    <w:lvl w:ilvl="3" w:tplc="131C834A">
      <w:numFmt w:val="decimal"/>
      <w:lvlText w:val=""/>
      <w:lvlJc w:val="left"/>
    </w:lvl>
    <w:lvl w:ilvl="4" w:tplc="2BB2C0E2">
      <w:numFmt w:val="decimal"/>
      <w:lvlText w:val=""/>
      <w:lvlJc w:val="left"/>
    </w:lvl>
    <w:lvl w:ilvl="5" w:tplc="4022E446">
      <w:numFmt w:val="decimal"/>
      <w:lvlText w:val=""/>
      <w:lvlJc w:val="left"/>
    </w:lvl>
    <w:lvl w:ilvl="6" w:tplc="CF0697DA">
      <w:numFmt w:val="decimal"/>
      <w:lvlText w:val=""/>
      <w:lvlJc w:val="left"/>
    </w:lvl>
    <w:lvl w:ilvl="7" w:tplc="0AC216DE">
      <w:numFmt w:val="decimal"/>
      <w:lvlText w:val=""/>
      <w:lvlJc w:val="left"/>
    </w:lvl>
    <w:lvl w:ilvl="8" w:tplc="A484EEF0">
      <w:numFmt w:val="decimal"/>
      <w:lvlText w:val=""/>
      <w:lvlJc w:val="left"/>
    </w:lvl>
  </w:abstractNum>
  <w:abstractNum w:abstractNumId="10" w15:restartNumberingAfterBreak="0">
    <w:nsid w:val="4EBA0402"/>
    <w:multiLevelType w:val="hybridMultilevel"/>
    <w:tmpl w:val="FDD69F30"/>
    <w:lvl w:ilvl="0" w:tplc="7D222496">
      <w:start w:val="1"/>
      <w:numFmt w:val="bullet"/>
      <w:lvlText w:val=""/>
      <w:lvlJc w:val="left"/>
      <w:pPr>
        <w:tabs>
          <w:tab w:val="num" w:pos="900"/>
        </w:tabs>
        <w:ind w:left="540" w:hanging="360"/>
      </w:pPr>
      <w:rPr>
        <w:rFonts w:ascii="Symbol" w:hAnsi="Symbol" w:hint="default"/>
      </w:rPr>
    </w:lvl>
    <w:lvl w:ilvl="1" w:tplc="E5FCA22C">
      <w:numFmt w:val="decimal"/>
      <w:lvlText w:val=""/>
      <w:lvlJc w:val="left"/>
    </w:lvl>
    <w:lvl w:ilvl="2" w:tplc="0986A64C">
      <w:numFmt w:val="decimal"/>
      <w:lvlText w:val=""/>
      <w:lvlJc w:val="left"/>
    </w:lvl>
    <w:lvl w:ilvl="3" w:tplc="5A38B380">
      <w:numFmt w:val="decimal"/>
      <w:lvlText w:val=""/>
      <w:lvlJc w:val="left"/>
    </w:lvl>
    <w:lvl w:ilvl="4" w:tplc="C26080CC">
      <w:numFmt w:val="decimal"/>
      <w:lvlText w:val=""/>
      <w:lvlJc w:val="left"/>
    </w:lvl>
    <w:lvl w:ilvl="5" w:tplc="95E01C3A">
      <w:numFmt w:val="decimal"/>
      <w:lvlText w:val=""/>
      <w:lvlJc w:val="left"/>
    </w:lvl>
    <w:lvl w:ilvl="6" w:tplc="3F9C9FC2">
      <w:numFmt w:val="decimal"/>
      <w:lvlText w:val=""/>
      <w:lvlJc w:val="left"/>
    </w:lvl>
    <w:lvl w:ilvl="7" w:tplc="6F129880">
      <w:numFmt w:val="decimal"/>
      <w:lvlText w:val=""/>
      <w:lvlJc w:val="left"/>
    </w:lvl>
    <w:lvl w:ilvl="8" w:tplc="D41A9724">
      <w:numFmt w:val="decimal"/>
      <w:lvlText w:val=""/>
      <w:lvlJc w:val="left"/>
    </w:lvl>
  </w:abstractNum>
  <w:abstractNum w:abstractNumId="11" w15:restartNumberingAfterBreak="0">
    <w:nsid w:val="519034F8"/>
    <w:multiLevelType w:val="hybridMultilevel"/>
    <w:tmpl w:val="7AD80F4E"/>
    <w:lvl w:ilvl="0" w:tplc="AA5AC77E">
      <w:start w:val="1"/>
      <w:numFmt w:val="bullet"/>
      <w:lvlText w:val=""/>
      <w:lvlJc w:val="left"/>
      <w:pPr>
        <w:tabs>
          <w:tab w:val="num" w:pos="900"/>
        </w:tabs>
        <w:ind w:left="540" w:hanging="360"/>
      </w:pPr>
      <w:rPr>
        <w:rFonts w:ascii="Symbol" w:hAnsi="Symbol" w:hint="default"/>
      </w:rPr>
    </w:lvl>
    <w:lvl w:ilvl="1" w:tplc="CBE6B6AC">
      <w:numFmt w:val="decimal"/>
      <w:lvlText w:val=""/>
      <w:lvlJc w:val="left"/>
    </w:lvl>
    <w:lvl w:ilvl="2" w:tplc="5F12C160">
      <w:numFmt w:val="decimal"/>
      <w:lvlText w:val=""/>
      <w:lvlJc w:val="left"/>
    </w:lvl>
    <w:lvl w:ilvl="3" w:tplc="F7E26376">
      <w:numFmt w:val="decimal"/>
      <w:lvlText w:val=""/>
      <w:lvlJc w:val="left"/>
    </w:lvl>
    <w:lvl w:ilvl="4" w:tplc="17E63C9A">
      <w:numFmt w:val="decimal"/>
      <w:lvlText w:val=""/>
      <w:lvlJc w:val="left"/>
    </w:lvl>
    <w:lvl w:ilvl="5" w:tplc="560A4C5E">
      <w:numFmt w:val="decimal"/>
      <w:lvlText w:val=""/>
      <w:lvlJc w:val="left"/>
    </w:lvl>
    <w:lvl w:ilvl="6" w:tplc="477A90AC">
      <w:numFmt w:val="decimal"/>
      <w:lvlText w:val=""/>
      <w:lvlJc w:val="left"/>
    </w:lvl>
    <w:lvl w:ilvl="7" w:tplc="8E0833D0">
      <w:numFmt w:val="decimal"/>
      <w:lvlText w:val=""/>
      <w:lvlJc w:val="left"/>
    </w:lvl>
    <w:lvl w:ilvl="8" w:tplc="0FF68E40">
      <w:numFmt w:val="decimal"/>
      <w:lvlText w:val=""/>
      <w:lvlJc w:val="left"/>
    </w:lvl>
  </w:abstractNum>
  <w:abstractNum w:abstractNumId="12" w15:restartNumberingAfterBreak="0">
    <w:nsid w:val="59CA65BE"/>
    <w:multiLevelType w:val="hybridMultilevel"/>
    <w:tmpl w:val="C04484A4"/>
    <w:lvl w:ilvl="0" w:tplc="0E4CB8E2">
      <w:start w:val="1"/>
      <w:numFmt w:val="bullet"/>
      <w:lvlText w:val=""/>
      <w:lvlJc w:val="left"/>
      <w:pPr>
        <w:tabs>
          <w:tab w:val="num" w:pos="900"/>
        </w:tabs>
        <w:ind w:left="540" w:hanging="360"/>
      </w:pPr>
      <w:rPr>
        <w:rFonts w:ascii="Symbol" w:hAnsi="Symbol" w:hint="default"/>
      </w:rPr>
    </w:lvl>
    <w:lvl w:ilvl="1" w:tplc="24A67900">
      <w:numFmt w:val="decimal"/>
      <w:lvlText w:val=""/>
      <w:lvlJc w:val="left"/>
    </w:lvl>
    <w:lvl w:ilvl="2" w:tplc="839A22F4">
      <w:numFmt w:val="decimal"/>
      <w:lvlText w:val=""/>
      <w:lvlJc w:val="left"/>
    </w:lvl>
    <w:lvl w:ilvl="3" w:tplc="41C0DBE2">
      <w:numFmt w:val="decimal"/>
      <w:lvlText w:val=""/>
      <w:lvlJc w:val="left"/>
    </w:lvl>
    <w:lvl w:ilvl="4" w:tplc="E83843E8">
      <w:numFmt w:val="decimal"/>
      <w:lvlText w:val=""/>
      <w:lvlJc w:val="left"/>
    </w:lvl>
    <w:lvl w:ilvl="5" w:tplc="92CC39C6">
      <w:numFmt w:val="decimal"/>
      <w:lvlText w:val=""/>
      <w:lvlJc w:val="left"/>
    </w:lvl>
    <w:lvl w:ilvl="6" w:tplc="E59C2202">
      <w:numFmt w:val="decimal"/>
      <w:lvlText w:val=""/>
      <w:lvlJc w:val="left"/>
    </w:lvl>
    <w:lvl w:ilvl="7" w:tplc="180E4CF6">
      <w:numFmt w:val="decimal"/>
      <w:lvlText w:val=""/>
      <w:lvlJc w:val="left"/>
    </w:lvl>
    <w:lvl w:ilvl="8" w:tplc="111CA2DC">
      <w:numFmt w:val="decimal"/>
      <w:lvlText w:val=""/>
      <w:lvlJc w:val="left"/>
    </w:lvl>
  </w:abstractNum>
  <w:abstractNum w:abstractNumId="13" w15:restartNumberingAfterBreak="0">
    <w:nsid w:val="65123A17"/>
    <w:multiLevelType w:val="hybridMultilevel"/>
    <w:tmpl w:val="AD6232EA"/>
    <w:lvl w:ilvl="0" w:tplc="8CDEBB18">
      <w:start w:val="1"/>
      <w:numFmt w:val="bullet"/>
      <w:lvlText w:val=""/>
      <w:lvlJc w:val="left"/>
      <w:pPr>
        <w:tabs>
          <w:tab w:val="num" w:pos="900"/>
        </w:tabs>
        <w:ind w:left="540" w:hanging="360"/>
      </w:pPr>
      <w:rPr>
        <w:rFonts w:ascii="Symbol" w:hAnsi="Symbol" w:hint="default"/>
      </w:rPr>
    </w:lvl>
    <w:lvl w:ilvl="1" w:tplc="0C02FF0E">
      <w:numFmt w:val="decimal"/>
      <w:lvlText w:val=""/>
      <w:lvlJc w:val="left"/>
    </w:lvl>
    <w:lvl w:ilvl="2" w:tplc="3F08A47E">
      <w:numFmt w:val="decimal"/>
      <w:lvlText w:val=""/>
      <w:lvlJc w:val="left"/>
    </w:lvl>
    <w:lvl w:ilvl="3" w:tplc="140E9E68">
      <w:numFmt w:val="decimal"/>
      <w:lvlText w:val=""/>
      <w:lvlJc w:val="left"/>
    </w:lvl>
    <w:lvl w:ilvl="4" w:tplc="988484AA">
      <w:numFmt w:val="decimal"/>
      <w:lvlText w:val=""/>
      <w:lvlJc w:val="left"/>
    </w:lvl>
    <w:lvl w:ilvl="5" w:tplc="090C63FA">
      <w:numFmt w:val="decimal"/>
      <w:lvlText w:val=""/>
      <w:lvlJc w:val="left"/>
    </w:lvl>
    <w:lvl w:ilvl="6" w:tplc="CAA84088">
      <w:numFmt w:val="decimal"/>
      <w:lvlText w:val=""/>
      <w:lvlJc w:val="left"/>
    </w:lvl>
    <w:lvl w:ilvl="7" w:tplc="0F4AFA6E">
      <w:numFmt w:val="decimal"/>
      <w:lvlText w:val=""/>
      <w:lvlJc w:val="left"/>
    </w:lvl>
    <w:lvl w:ilvl="8" w:tplc="0F6AB658">
      <w:numFmt w:val="decimal"/>
      <w:lvlText w:val=""/>
      <w:lvlJc w:val="left"/>
    </w:lvl>
  </w:abstractNum>
  <w:abstractNum w:abstractNumId="14" w15:restartNumberingAfterBreak="0">
    <w:nsid w:val="6E655DEF"/>
    <w:multiLevelType w:val="hybridMultilevel"/>
    <w:tmpl w:val="CD02546C"/>
    <w:lvl w:ilvl="0" w:tplc="1752E7A8">
      <w:start w:val="1"/>
      <w:numFmt w:val="bullet"/>
      <w:lvlText w:val=""/>
      <w:lvlJc w:val="left"/>
      <w:pPr>
        <w:tabs>
          <w:tab w:val="num" w:pos="900"/>
        </w:tabs>
        <w:ind w:left="540" w:hanging="360"/>
      </w:pPr>
      <w:rPr>
        <w:rFonts w:ascii="Symbol" w:hAnsi="Symbol" w:hint="default"/>
      </w:rPr>
    </w:lvl>
    <w:lvl w:ilvl="1" w:tplc="CA3049B6">
      <w:numFmt w:val="decimal"/>
      <w:lvlText w:val=""/>
      <w:lvlJc w:val="left"/>
    </w:lvl>
    <w:lvl w:ilvl="2" w:tplc="4646783C">
      <w:numFmt w:val="decimal"/>
      <w:lvlText w:val=""/>
      <w:lvlJc w:val="left"/>
    </w:lvl>
    <w:lvl w:ilvl="3" w:tplc="15EA031A">
      <w:numFmt w:val="decimal"/>
      <w:lvlText w:val=""/>
      <w:lvlJc w:val="left"/>
    </w:lvl>
    <w:lvl w:ilvl="4" w:tplc="3676A654">
      <w:numFmt w:val="decimal"/>
      <w:lvlText w:val=""/>
      <w:lvlJc w:val="left"/>
    </w:lvl>
    <w:lvl w:ilvl="5" w:tplc="64EE8B58">
      <w:numFmt w:val="decimal"/>
      <w:lvlText w:val=""/>
      <w:lvlJc w:val="left"/>
    </w:lvl>
    <w:lvl w:ilvl="6" w:tplc="2C74E2F4">
      <w:numFmt w:val="decimal"/>
      <w:lvlText w:val=""/>
      <w:lvlJc w:val="left"/>
    </w:lvl>
    <w:lvl w:ilvl="7" w:tplc="278C94E6">
      <w:numFmt w:val="decimal"/>
      <w:lvlText w:val=""/>
      <w:lvlJc w:val="left"/>
    </w:lvl>
    <w:lvl w:ilvl="8" w:tplc="B5AE460E">
      <w:numFmt w:val="decimal"/>
      <w:lvlText w:val=""/>
      <w:lvlJc w:val="left"/>
    </w:lvl>
  </w:abstractNum>
  <w:abstractNum w:abstractNumId="15" w15:restartNumberingAfterBreak="0">
    <w:nsid w:val="77A07DFD"/>
    <w:multiLevelType w:val="hybridMultilevel"/>
    <w:tmpl w:val="666222E0"/>
    <w:lvl w:ilvl="0" w:tplc="46D6D956">
      <w:start w:val="1"/>
      <w:numFmt w:val="bullet"/>
      <w:lvlText w:val=""/>
      <w:lvlJc w:val="left"/>
      <w:pPr>
        <w:tabs>
          <w:tab w:val="num" w:pos="900"/>
        </w:tabs>
        <w:ind w:left="540" w:hanging="360"/>
      </w:pPr>
      <w:rPr>
        <w:rFonts w:ascii="Symbol" w:hAnsi="Symbol" w:hint="default"/>
      </w:rPr>
    </w:lvl>
    <w:lvl w:ilvl="1" w:tplc="39829DF6">
      <w:numFmt w:val="decimal"/>
      <w:lvlText w:val=""/>
      <w:lvlJc w:val="left"/>
    </w:lvl>
    <w:lvl w:ilvl="2" w:tplc="7772E6AE">
      <w:numFmt w:val="decimal"/>
      <w:lvlText w:val=""/>
      <w:lvlJc w:val="left"/>
    </w:lvl>
    <w:lvl w:ilvl="3" w:tplc="3F92595A">
      <w:numFmt w:val="decimal"/>
      <w:lvlText w:val=""/>
      <w:lvlJc w:val="left"/>
    </w:lvl>
    <w:lvl w:ilvl="4" w:tplc="4FCA9152">
      <w:numFmt w:val="decimal"/>
      <w:lvlText w:val=""/>
      <w:lvlJc w:val="left"/>
    </w:lvl>
    <w:lvl w:ilvl="5" w:tplc="771E4668">
      <w:numFmt w:val="decimal"/>
      <w:lvlText w:val=""/>
      <w:lvlJc w:val="left"/>
    </w:lvl>
    <w:lvl w:ilvl="6" w:tplc="55B20EDE">
      <w:numFmt w:val="decimal"/>
      <w:lvlText w:val=""/>
      <w:lvlJc w:val="left"/>
    </w:lvl>
    <w:lvl w:ilvl="7" w:tplc="B77EDF74">
      <w:numFmt w:val="decimal"/>
      <w:lvlText w:val=""/>
      <w:lvlJc w:val="left"/>
    </w:lvl>
    <w:lvl w:ilvl="8" w:tplc="127C8CB6">
      <w:numFmt w:val="decimal"/>
      <w:lvlText w:val=""/>
      <w:lvlJc w:val="left"/>
    </w:lvl>
  </w:abstractNum>
  <w:abstractNum w:abstractNumId="16" w15:restartNumberingAfterBreak="0">
    <w:nsid w:val="7EEC671F"/>
    <w:multiLevelType w:val="hybridMultilevel"/>
    <w:tmpl w:val="A1BAC620"/>
    <w:lvl w:ilvl="0" w:tplc="398E663A">
      <w:start w:val="1"/>
      <w:numFmt w:val="decimal"/>
      <w:lvlText w:val="%1."/>
      <w:lvlJc w:val="left"/>
      <w:pPr>
        <w:tabs>
          <w:tab w:val="num" w:pos="900"/>
        </w:tabs>
        <w:ind w:left="540" w:hanging="360"/>
      </w:pPr>
    </w:lvl>
    <w:lvl w:ilvl="1" w:tplc="458C581A">
      <w:numFmt w:val="decimal"/>
      <w:lvlText w:val=""/>
      <w:lvlJc w:val="left"/>
    </w:lvl>
    <w:lvl w:ilvl="2" w:tplc="6602D6CC">
      <w:numFmt w:val="decimal"/>
      <w:lvlText w:val=""/>
      <w:lvlJc w:val="left"/>
    </w:lvl>
    <w:lvl w:ilvl="3" w:tplc="CBE23F1A">
      <w:numFmt w:val="decimal"/>
      <w:lvlText w:val=""/>
      <w:lvlJc w:val="left"/>
    </w:lvl>
    <w:lvl w:ilvl="4" w:tplc="1278DDB4">
      <w:numFmt w:val="decimal"/>
      <w:lvlText w:val=""/>
      <w:lvlJc w:val="left"/>
    </w:lvl>
    <w:lvl w:ilvl="5" w:tplc="D360915A">
      <w:numFmt w:val="decimal"/>
      <w:lvlText w:val=""/>
      <w:lvlJc w:val="left"/>
    </w:lvl>
    <w:lvl w:ilvl="6" w:tplc="91F27512">
      <w:numFmt w:val="decimal"/>
      <w:lvlText w:val=""/>
      <w:lvlJc w:val="left"/>
    </w:lvl>
    <w:lvl w:ilvl="7" w:tplc="A8648998">
      <w:numFmt w:val="decimal"/>
      <w:lvlText w:val=""/>
      <w:lvlJc w:val="left"/>
    </w:lvl>
    <w:lvl w:ilvl="8" w:tplc="365CC342">
      <w:numFmt w:val="decimal"/>
      <w:lvlText w:val=""/>
      <w:lvlJc w:val="left"/>
    </w:lvl>
  </w:abstractNum>
  <w:num w:numId="1" w16cid:durableId="497110770">
    <w:abstractNumId w:val="12"/>
  </w:num>
  <w:num w:numId="2" w16cid:durableId="1547108395">
    <w:abstractNumId w:val="11"/>
  </w:num>
  <w:num w:numId="3" w16cid:durableId="1829201140">
    <w:abstractNumId w:val="8"/>
  </w:num>
  <w:num w:numId="4" w16cid:durableId="935287040">
    <w:abstractNumId w:val="6"/>
  </w:num>
  <w:num w:numId="5" w16cid:durableId="884605964">
    <w:abstractNumId w:val="14"/>
  </w:num>
  <w:num w:numId="6" w16cid:durableId="1974748910">
    <w:abstractNumId w:val="16"/>
  </w:num>
  <w:num w:numId="7" w16cid:durableId="728305269">
    <w:abstractNumId w:val="5"/>
  </w:num>
  <w:num w:numId="8" w16cid:durableId="26831914">
    <w:abstractNumId w:val="2"/>
  </w:num>
  <w:num w:numId="9" w16cid:durableId="2022657617">
    <w:abstractNumId w:val="10"/>
  </w:num>
  <w:num w:numId="10" w16cid:durableId="1867788565">
    <w:abstractNumId w:val="3"/>
  </w:num>
  <w:num w:numId="11" w16cid:durableId="123928916">
    <w:abstractNumId w:val="13"/>
  </w:num>
  <w:num w:numId="12" w16cid:durableId="514851729">
    <w:abstractNumId w:val="0"/>
  </w:num>
  <w:num w:numId="13" w16cid:durableId="1009210784">
    <w:abstractNumId w:val="15"/>
  </w:num>
  <w:num w:numId="14" w16cid:durableId="703599694">
    <w:abstractNumId w:val="1"/>
  </w:num>
  <w:num w:numId="15" w16cid:durableId="1513489091">
    <w:abstractNumId w:val="4"/>
  </w:num>
  <w:num w:numId="16" w16cid:durableId="1897738797">
    <w:abstractNumId w:val="9"/>
  </w:num>
  <w:num w:numId="17" w16cid:durableId="492455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B9F"/>
    <w:rsid w:val="00076C48"/>
    <w:rsid w:val="00404BE7"/>
    <w:rsid w:val="00850662"/>
    <w:rsid w:val="008B3B9F"/>
    <w:rsid w:val="008F4279"/>
    <w:rsid w:val="00B808AF"/>
    <w:rsid w:val="00BD4906"/>
    <w:rsid w:val="00CC1FC6"/>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35FED5"/>
  <w15:docId w15:val="{1787B387-6E04-400C-ABFC-3D6A6687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EastAsia"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65499402/bd8666a1-c6c8-4ebc-b01b-c6baae63a331/Psicologia-social-clase-1-2026.pdf?AWSAccessKeyId=ASIA2F3EMEYE3JSCKFIW&amp;Signature=WZndM6ZJswqGja0IBRILshfwTOw%3D&amp;x-amz-security-token=IQoJb3JpZ2luX2VjEO%2F%2F%2F%2F%2F%2F%2F%2F%2F%2F%2FwEaCXVzLWVhc3QtMSJHMEUCIBOim8cUKWo%2Fgo4sP8hlbNu5%2F%2BIAXdpXzzgsGMV9oGOjAiEAmrLi6xuA4TReW1y2lF2KK6tvc9ETcDSU8mFEPO3a1C8q%2FAQIuP%2F%2F%2F%2F%2F%2F%2F%2F%2F%2FARABGgw2OTk3NTMzMDk3MDUiDP%2Fa7pm42pxHr%2Bh%2FmCrQBF21fIiV4%2BbJvMAVxYrVezXpJWlCDU%2FZSuv756fq6at4KJlhio7ElWJotdXgg62wwRs0a7hfwiljPwE2MW1q7titc4YAOZFOolBy50hGu2h3c5JQTbxtspPQzkes3wZip3gHhe%2BLG8fMcZ6r8kl%2FIlKp42eyK1E%2FdB2fxClwXFHYndr2XZJmcx8NVvvRrIA6APuXk%2BWtOd7ja6jghT2YqBeYYnrVzG75RNGyYA9NrX4PqoH4e0whMnmi4wDM3h6zIYslouPFHcYwGOiddGZalDZ7myeLGxM9hwA8rfQ0wBDeFLp10%2BhMMMY6Yd6CCVxKigjNez6L2wZ%2BOXoIJfQQqMb7ZbB%2FtTe5YQEoOZ4VHcF7FEHEShxeUCFeASx1cy9oj%2BdmXaJmPBUtt0dCPgbV7kTrj6eXkA2vaHcoUIeWTdX3OQd0OtckWfwcbCEiRWx8O7vJT7rvOe4v8HkzGMyQQYkRXEbzOdaY2x3N%2BhiNZM0hnRizEbp7oJRpNTp1h41R8%2Fu2Ey5OSVM8MR5%2BGOX4xtut39aeuX4SvZA50WzRFQuvtlTTpVvYXLY62QV%2FPPls6coEaui1sU0jLlCMFPkLxhv6jyA8Prf8CNN7zsLg7LtgiRMdvOM10%2FvqdJ2L0PForcnqISg3yKcdkVKtCodoskfmiFAuOrk9fH0GoNzvoyTsVbWkKoc0e30sJ2CkBZhbZvxzWu2Br8eb7ieYH8tKTl6yL5pPY2YyFsCyW6ZkHh%2B5qbvUzE72o%2B%2Bnhllcan0rBQLJPKGY0qIxZ8NCMsjiwBEw2%2BXs0wY6mAGVqi9ycs3XpoF6U%2BSCN5b8l9VvQV4iUHj%2F2%2F%2BGKW6wqWsIM3gr8M6vcBZsGfkkao4DuoqnT9lsT0GDREg00AbxOpGNwhHiykwV9MbdaJK3BeQ1MgQC%2FyzzVkerXT9Tk7KrBFfdxM1B1QrM5iaMKCwDTMRRf41QW3G%2FwGQX1KGk1jcMz2Hnxp%2BN5N2da6JbNnr%2BpL00961v7Q%3D%3D&amp;Expires=1786462382" TargetMode="External"/><Relationship Id="rId5" Type="http://schemas.openxmlformats.org/officeDocument/2006/relationships/hyperlink" Target="https://ppl-ai-file-upload.s3.amazonaws.com/web/direct-files/attachments/65499402/a40ea120-b722-46e2-be92-2d8c2a9b8d2a/Morales-et-al.-2007-Cap.-1.pdf?AWSAccessKeyId=ASIA2F3EMEYE3JSCKFIW&amp;Signature=9EROftFhwJwUvOR2otGnHK1Eck4%3D&amp;x-amz-security-token=IQoJb3JpZ2luX2VjEO%2F%2F%2F%2F%2F%2F%2F%2F%2F%2F%2FwEaCXVzLWVhc3QtMSJHMEUCIBOim8cUKWo%2Fgo4sP8hlbNu5%2F%2BIAXdpXzzgsGMV9oGOjAiEAmrLi6xuA4TReW1y2lF2KK6tvc9ETcDSU8mFEPO3a1C8q%2FAQIuP%2F%2F%2F%2F%2F%2F%2F%2F%2F%2FARABGgw2OTk3NTMzMDk3MDUiDP%2Fa7pm42pxHr%2Bh%2FmCrQBF21fIiV4%2BbJvMAVxYrVezXpJWlCDU%2FZSuv756fq6at4KJlhio7ElWJotdXgg62wwRs0a7hfwiljPwE2MW1q7titc4YAOZFOolBy50hGu2h3c5JQTbxtspPQzkes3wZip3gHhe%2BLG8fMcZ6r8kl%2FIlKp42eyK1E%2FdB2fxClwXFHYndr2XZJmcx8NVvvRrIA6APuXk%2BWtOd7ja6jghT2YqBeYYnrVzG75RNGyYA9NrX4PqoH4e0whMnmi4wDM3h6zIYslouPFHcYwGOiddGZalDZ7myeLGxM9hwA8rfQ0wBDeFLp10%2BhMMMY6Yd6CCVxKigjNez6L2wZ%2BOXoIJfQQqMb7ZbB%2FtTe5YQEoOZ4VHcF7FEHEShxeUCFeASx1cy9oj%2BdmXaJmPBUtt0dCPgbV7kTrj6eXkA2vaHcoUIeWTdX3OQd0OtckWfwcbCEiRWx8O7vJT7rvOe4v8HkzGMyQQYkRXEbzOdaY2x3N%2BhiNZM0hnRizEbp7oJRpNTp1h41R8%2Fu2Ey5OSVM8MR5%2BGOX4xtut39aeuX4SvZA50WzRFQuvtlTTpVvYXLY62QV%2FPPls6coEaui1sU0jLlCMFPkLxhv6jyA8Prf8CNN7zsLg7LtgiRMdvOM10%2FvqdJ2L0PForcnqISg3yKcdkVKtCodoskfmiFAuOrk9fH0GoNzvoyTsVbWkKoc0e30sJ2CkBZhbZvxzWu2Br8eb7ieYH8tKTl6yL5pPY2YyFsCyW6ZkHh%2B5qbvUzE72o%2B%2Bnhllcan0rBQLJPKGY0qIxZ8NCMsjiwBEw2%2BXs0wY6mAGVqi9ycs3XpoF6U%2BSCN5b8l9VvQV4iUHj%2F2%2F%2BGKW6wqWsIM3gr8M6vcBZsGfkkao4DuoqnT9lsT0GDREg00AbxOpGNwhHiykwV9MbdaJK3BeQ1MgQC%2FyzzVkerXT9Tk7KrBFfdxM1B1QrM5iaMKCwDTMRRf41QW3G%2FwGQX1KGk1jcMz2Hnxp%2BN5N2da6JbNnr%2BpL00961v7Q%3D%3D&amp;Expires=178646238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4911</Words>
  <Characters>27014</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un-young shim</cp:lastModifiedBy>
  <cp:revision>6</cp:revision>
  <cp:lastPrinted>2026-08-12T08:43:00Z</cp:lastPrinted>
  <dcterms:created xsi:type="dcterms:W3CDTF">2026-08-11T14:38:00Z</dcterms:created>
  <dcterms:modified xsi:type="dcterms:W3CDTF">2026-08-12T09:42:00Z</dcterms:modified>
</cp:coreProperties>
</file>