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3381f16390f771b482be7ebc3b196b0487627de"/>
    <w:p>
      <w:pPr>
        <w:pStyle w:val="Heading1"/>
      </w:pPr>
      <w:r>
        <w:t xml:space="preserve">Guion de la presentación:</w:t>
      </w:r>
      <w:r>
        <w:t xml:space="preserve"> </w:t>
      </w:r>
      <w:r>
        <w:rPr>
          <w:iCs/>
          <w:i/>
        </w:rPr>
        <w:t xml:space="preserve">Advancing theorizing about fast-and-slow thinking</w:t>
      </w:r>
      <w:r>
        <w:t xml:space="preserve"> </w:t>
      </w:r>
      <w:r>
        <w:t xml:space="preserve">(De Neys, 2023)</w:t>
      </w:r>
    </w:p>
    <w:p>
      <w:pPr>
        <w:pStyle w:val="BlockText"/>
      </w:pPr>
      <w:r>
        <w:rPr>
          <w:bCs/>
          <w:b/>
        </w:rPr>
        <w:t xml:space="preserve">Duración: 15 minutos como máximo, 3 por expositor.</w:t>
      </w:r>
      <w:r>
        <w:t xml:space="preserve"> </w:t>
      </w:r>
      <w:r>
        <w:t xml:space="preserve">Cada parte tiene entre 320 y 385 palabras, que a ritmo de exposición (unas 130 por minuto) dan entre 2:30 y 2:55: unos 13 minutos y medio en total. Los segundos de margen son para cambiar de diapositiva y de expositor.</w:t>
      </w:r>
      <w:r>
        <w:t xml:space="preserve"> </w:t>
      </w:r>
      <w:r>
        <w:rPr>
          <w:bCs/>
          <w:b/>
        </w:rPr>
        <w:t xml:space="preserve">El debate va después de los 15 minutos</w:t>
      </w:r>
      <w:r>
        <w:t xml:space="preserve">, como pide la consigna, y lo abre el grupo con la diapositiva 16. Las notas en recuadro («Si preguntan…»)</w:t>
      </w:r>
      <w:r>
        <w:t xml:space="preserve"> </w:t>
      </w:r>
      <w:r>
        <w:rPr>
          <w:bCs/>
          <w:b/>
        </w:rPr>
        <w:t xml:space="preserve">no se leen</w:t>
      </w:r>
      <w:r>
        <w:t xml:space="preserve">. Cada parte está también en las notas del orador de su diapositiva.</w:t>
      </w:r>
    </w:p>
    <w:bookmarkStart w:id="21" w:name="cómo-está-armada-la-exposición"/>
    <w:p>
      <w:pPr>
        <w:pStyle w:val="Heading2"/>
      </w:pPr>
      <w:r>
        <w:t xml:space="preserve">Cómo está armada la exposición</w:t>
      </w:r>
    </w:p>
    <w:p>
      <w:pPr>
        <w:pStyle w:val="FirstParagraph"/>
      </w:pPr>
      <w:r>
        <w:t xml:space="preserve">Recorremos el artículo</w:t>
      </w:r>
      <w:r>
        <w:t xml:space="preserve"> </w:t>
      </w:r>
      <w:r>
        <w:rPr>
          <w:bCs/>
          <w:b/>
        </w:rPr>
        <w:t xml:space="preserve">en su propio orden</w:t>
      </w:r>
      <w:r>
        <w:t xml:space="preserve"> </w:t>
      </w:r>
      <w:r>
        <w:t xml:space="preserve">(introducción, evidencia, cambio y modelo, perspectivas, comentarios y respuesta, conclusión), y cada expositor presenta la sección que le toca</w:t>
      </w:r>
      <w:r>
        <w:t xml:space="preserve"> </w:t>
      </w:r>
      <w:r>
        <w:rPr>
          <w:bCs/>
          <w:b/>
        </w:rPr>
        <w:t xml:space="preserve">antes</w:t>
      </w:r>
      <w:r>
        <w:t xml:space="preserve"> </w:t>
      </w:r>
      <w:r>
        <w:t xml:space="preserve">de evaluarla. Así el reparto sigue siendo uno para el experimento, dos para los aciertos y dos para las críticas, pero cada acierto y cada crítica tiene a la vista la parte del artículo que comenta.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Expositor/a</w:t>
            </w:r>
          </w:p>
        </w:tc>
        <w:tc>
          <w:tcPr/>
          <w:p>
            <w:pPr>
              <w:pStyle w:val="Compact"/>
              <w:jc w:val="left"/>
            </w:pPr>
            <w:r>
              <w:t xml:space="preserve">Rol</w:t>
            </w:r>
          </w:p>
        </w:tc>
        <w:tc>
          <w:tcPr/>
          <w:p>
            <w:pPr>
              <w:pStyle w:val="Compact"/>
              <w:jc w:val="left"/>
            </w:pPr>
            <w:r>
              <w:t xml:space="preserve">Sección del artículo</w:t>
            </w:r>
          </w:p>
        </w:tc>
        <w:tc>
          <w:tcPr/>
          <w:p>
            <w:pPr>
              <w:pStyle w:val="Compact"/>
              <w:jc w:val="left"/>
            </w:pPr>
            <w:r>
              <w:t xml:space="preserve">Diapositivas</w:t>
            </w:r>
          </w:p>
        </w:tc>
        <w:tc>
          <w:tcPr/>
          <w:p>
            <w:pPr>
              <w:pStyle w:val="Compact"/>
              <w:jc w:val="left"/>
            </w:pPr>
            <w:r>
              <w:t xml:space="preserve">Tiempo</w:t>
            </w:r>
          </w:p>
        </w:tc>
        <w:tc>
          <w:tcPr/>
          <w:p>
            <w:pPr>
              <w:pStyle w:val="Compact"/>
              <w:jc w:val="left"/>
            </w:pPr>
            <w:r>
              <w:t xml:space="preserve">Acumulado</w:t>
            </w:r>
          </w:p>
        </w:tc>
      </w:tr>
      <w:tr>
        <w:tc>
          <w:tcPr/>
          <w:p>
            <w:pPr>
              <w:pStyle w:val="Compact"/>
              <w:jc w:val="left"/>
            </w:pPr>
            <w:r>
              <w:t xml:space="preserve">1</w:t>
            </w:r>
          </w:p>
        </w:tc>
        <w:tc>
          <w:tcPr/>
          <w:p>
            <w:pPr>
              <w:pStyle w:val="Compact"/>
              <w:jc w:val="left"/>
            </w:pPr>
            <w:r>
              <w:t xml:space="preserve">El artículo y el experimento</w:t>
            </w:r>
          </w:p>
        </w:tc>
        <w:tc>
          <w:tcPr/>
          <w:p>
            <w:pPr>
              <w:pStyle w:val="Compact"/>
              <w:jc w:val="left"/>
            </w:pPr>
            <w:r>
              <w:t xml:space="preserve">Introducción y sección 1 (evidencia)</w:t>
            </w:r>
          </w:p>
        </w:tc>
        <w:tc>
          <w:tcPr/>
          <w:p>
            <w:pPr>
              <w:pStyle w:val="Compact"/>
              <w:jc w:val="left"/>
            </w:pPr>
            <w:r>
              <w:t xml:space="preserve">1-5</w:t>
            </w:r>
          </w:p>
        </w:tc>
        <w:tc>
          <w:tcPr/>
          <w:p>
            <w:pPr>
              <w:pStyle w:val="Compact"/>
              <w:jc w:val="left"/>
            </w:pPr>
            <w:r>
              <w:t xml:space="preserve">3:00</w:t>
            </w:r>
          </w:p>
        </w:tc>
        <w:tc>
          <w:tcPr/>
          <w:p>
            <w:pPr>
              <w:pStyle w:val="Compact"/>
              <w:jc w:val="left"/>
            </w:pPr>
            <w:r>
              <w:t xml:space="preserve">3:00</w:t>
            </w:r>
          </w:p>
        </w:tc>
      </w:tr>
      <w:tr>
        <w:tc>
          <w:tcPr/>
          <w:p>
            <w:pPr>
              <w:pStyle w:val="Compact"/>
              <w:jc w:val="left"/>
            </w:pPr>
            <w:r>
              <w:t xml:space="preserve">2</w:t>
            </w:r>
          </w:p>
        </w:tc>
        <w:tc>
          <w:tcPr/>
          <w:p>
            <w:pPr>
              <w:pStyle w:val="Compact"/>
              <w:jc w:val="left"/>
            </w:pPr>
            <w:r>
              <w:t xml:space="preserve">Acierto 1: un mecanismo de cambio</w:t>
            </w:r>
          </w:p>
        </w:tc>
        <w:tc>
          <w:tcPr/>
          <w:p>
            <w:pPr>
              <w:pStyle w:val="Compact"/>
              <w:jc w:val="left"/>
            </w:pPr>
            <w:r>
              <w:t xml:space="preserve">Secciones 2 (el cambio) y 3 (el modelo)</w:t>
            </w:r>
          </w:p>
        </w:tc>
        <w:tc>
          <w:tcPr/>
          <w:p>
            <w:pPr>
              <w:pStyle w:val="Compact"/>
              <w:jc w:val="left"/>
            </w:pPr>
            <w:r>
              <w:t xml:space="preserve">6-8</w:t>
            </w:r>
          </w:p>
        </w:tc>
        <w:tc>
          <w:tcPr/>
          <w:p>
            <w:pPr>
              <w:pStyle w:val="Compact"/>
              <w:jc w:val="left"/>
            </w:pPr>
            <w:r>
              <w:t xml:space="preserve">3:00</w:t>
            </w:r>
          </w:p>
        </w:tc>
        <w:tc>
          <w:tcPr/>
          <w:p>
            <w:pPr>
              <w:pStyle w:val="Compact"/>
              <w:jc w:val="left"/>
            </w:pPr>
            <w:r>
              <w:t xml:space="preserve">6:00</w:t>
            </w:r>
          </w:p>
        </w:tc>
      </w:tr>
      <w:tr>
        <w:tc>
          <w:tcPr/>
          <w:p>
            <w:pPr>
              <w:pStyle w:val="Compact"/>
              <w:jc w:val="left"/>
            </w:pPr>
            <w:r>
              <w:t xml:space="preserve">3</w:t>
            </w:r>
          </w:p>
        </w:tc>
        <w:tc>
          <w:tcPr/>
          <w:p>
            <w:pPr>
              <w:pStyle w:val="Compact"/>
              <w:jc w:val="left"/>
            </w:pPr>
            <w:r>
              <w:t xml:space="preserve">Acierto 2: la intuición se educa</w:t>
            </w:r>
          </w:p>
        </w:tc>
        <w:tc>
          <w:tcPr/>
          <w:p>
            <w:pPr>
              <w:pStyle w:val="Compact"/>
              <w:jc w:val="left"/>
            </w:pPr>
            <w:r>
              <w:t xml:space="preserve">Sección 4.2-4.3 (intuiciones y automatización)</w:t>
            </w:r>
          </w:p>
        </w:tc>
        <w:tc>
          <w:tcPr/>
          <w:p>
            <w:pPr>
              <w:pStyle w:val="Compact"/>
              <w:jc w:val="left"/>
            </w:pPr>
            <w:r>
              <w:t xml:space="preserve">9-10</w:t>
            </w:r>
          </w:p>
        </w:tc>
        <w:tc>
          <w:tcPr/>
          <w:p>
            <w:pPr>
              <w:pStyle w:val="Compact"/>
              <w:jc w:val="left"/>
            </w:pPr>
            <w:r>
              <w:t xml:space="preserve">3:00</w:t>
            </w:r>
          </w:p>
        </w:tc>
        <w:tc>
          <w:tcPr/>
          <w:p>
            <w:pPr>
              <w:pStyle w:val="Compact"/>
              <w:jc w:val="left"/>
            </w:pPr>
            <w:r>
              <w:t xml:space="preserve">9:00</w:t>
            </w:r>
          </w:p>
        </w:tc>
      </w:tr>
      <w:tr>
        <w:tc>
          <w:tcPr/>
          <w:p>
            <w:pPr>
              <w:pStyle w:val="Compact"/>
              <w:jc w:val="left"/>
            </w:pPr>
            <w:r>
              <w:t xml:space="preserve">4</w:t>
            </w:r>
          </w:p>
        </w:tc>
        <w:tc>
          <w:tcPr/>
          <w:p>
            <w:pPr>
              <w:pStyle w:val="Compact"/>
              <w:jc w:val="left"/>
            </w:pPr>
            <w:r>
              <w:t xml:space="preserve">Crítica 1: un modelo que todavía no predice</w:t>
            </w:r>
          </w:p>
        </w:tc>
        <w:tc>
          <w:tcPr/>
          <w:p>
            <w:pPr>
              <w:pStyle w:val="Compact"/>
              <w:jc w:val="left"/>
            </w:pPr>
            <w:r>
              <w:t xml:space="preserve">Sección 4 (perspectivas: lo que el autor reconoce)</w:t>
            </w:r>
          </w:p>
        </w:tc>
        <w:tc>
          <w:tcPr/>
          <w:p>
            <w:pPr>
              <w:pStyle w:val="Compact"/>
              <w:jc w:val="left"/>
            </w:pPr>
            <w:r>
              <w:t xml:space="preserve">11-12</w:t>
            </w:r>
          </w:p>
        </w:tc>
        <w:tc>
          <w:tcPr/>
          <w:p>
            <w:pPr>
              <w:pStyle w:val="Compact"/>
              <w:jc w:val="left"/>
            </w:pPr>
            <w:r>
              <w:t xml:space="preserve">3:00</w:t>
            </w:r>
          </w:p>
        </w:tc>
        <w:tc>
          <w:tcPr/>
          <w:p>
            <w:pPr>
              <w:pStyle w:val="Compact"/>
              <w:jc w:val="left"/>
            </w:pPr>
            <w:r>
              <w:t xml:space="preserve">12:00</w:t>
            </w:r>
          </w:p>
        </w:tc>
      </w:tr>
      <w:tr>
        <w:tc>
          <w:tcPr/>
          <w:p>
            <w:pPr>
              <w:pStyle w:val="Compact"/>
              <w:jc w:val="left"/>
            </w:pPr>
            <w:r>
              <w:t xml:space="preserve">5</w:t>
            </w:r>
          </w:p>
        </w:tc>
        <w:tc>
          <w:tcPr/>
          <w:p>
            <w:pPr>
              <w:pStyle w:val="Compact"/>
              <w:jc w:val="left"/>
            </w:pPr>
            <w:r>
              <w:t xml:space="preserve">Crítica 2: del laboratorio a la vida real</w:t>
            </w:r>
          </w:p>
        </w:tc>
        <w:tc>
          <w:tcPr/>
          <w:p>
            <w:pPr>
              <w:pStyle w:val="Compact"/>
              <w:jc w:val="left"/>
            </w:pPr>
            <w:r>
              <w:t xml:space="preserve">Comentarios, respuesta del autor y sección 5 (conclusión)</w:t>
            </w:r>
          </w:p>
        </w:tc>
        <w:tc>
          <w:tcPr/>
          <w:p>
            <w:pPr>
              <w:pStyle w:val="Compact"/>
              <w:jc w:val="left"/>
            </w:pPr>
            <w:r>
              <w:t xml:space="preserve">13-15</w:t>
            </w:r>
          </w:p>
        </w:tc>
        <w:tc>
          <w:tcPr/>
          <w:p>
            <w:pPr>
              <w:pStyle w:val="Compact"/>
              <w:jc w:val="left"/>
            </w:pPr>
            <w:r>
              <w:t xml:space="preserve">3:00</w:t>
            </w:r>
          </w:p>
        </w:tc>
        <w:tc>
          <w:tcPr/>
          <w:p>
            <w:pPr>
              <w:pStyle w:val="Compact"/>
              <w:jc w:val="left"/>
            </w:pPr>
            <w:r>
              <w:t xml:space="preserve">15:00</w:t>
            </w:r>
          </w:p>
        </w:tc>
      </w:tr>
      <w:tr>
        <w:tc>
          <w:tcPr/>
          <w:p>
            <w:pPr>
              <w:pStyle w:val="Compact"/>
              <w:jc w:val="left"/>
            </w:pPr>
            <w:r>
              <w:t xml:space="preserve">Todo el grupo</w:t>
            </w:r>
          </w:p>
        </w:tc>
        <w:tc>
          <w:tcPr/>
          <w:p>
            <w:pPr>
              <w:pStyle w:val="Compact"/>
              <w:jc w:val="left"/>
            </w:pPr>
            <w:r>
              <w:t xml:space="preserve">Debate</w:t>
            </w:r>
          </w:p>
        </w:tc>
        <w:tc>
          <w:tcPr/>
          <w:p>
            <w:pPr>
              <w:pStyle w:val="Compact"/>
              <w:jc w:val="left"/>
            </w:pPr>
            <w:r>
              <w:t xml:space="preserve">—</w:t>
            </w:r>
          </w:p>
        </w:tc>
        <w:tc>
          <w:tcPr/>
          <w:p>
            <w:pPr>
              <w:pStyle w:val="Compact"/>
              <w:jc w:val="left"/>
            </w:pPr>
            <w:r>
              <w:t xml:space="preserve">16</w:t>
            </w:r>
          </w:p>
        </w:tc>
        <w:tc>
          <w:tcPr/>
          <w:p>
            <w:pPr>
              <w:pStyle w:val="Compact"/>
              <w:jc w:val="left"/>
            </w:pPr>
            <w:r>
              <w:t xml:space="preserve">después</w:t>
            </w:r>
          </w:p>
        </w:tc>
        <w:tc>
          <w:tcPr/>
          <w:p>
            <w:pPr>
              <w:pStyle w:val="Compact"/>
              <w:jc w:val="left"/>
            </w:pPr>
            <w:r>
              <w:t xml:space="preserve">—</w:t>
            </w:r>
          </w:p>
        </w:tc>
      </w:tr>
    </w:tbl>
    <w:p>
      <w:pPr>
        <w:pStyle w:val="BodyText"/>
      </w:pPr>
      <w:r>
        <w:rPr>
          <w:bCs/>
          <w:b/>
        </w:rPr>
        <w:t xml:space="preserve">Opciones que evaluamos.</w:t>
      </w:r>
      <w:r>
        <w:t xml:space="preserve"> </w:t>
      </w:r>
      <w:r>
        <w:t xml:space="preserve">(A) Que el expositor 1 presente todo el artículo y los demás solo evalúen: descartada, porque son 3 minutos para hipótesis, objetivos, método, resultados, modelo, conclusiones y discusión, y los aciertos y críticas quedarían lejos de lo que comentan. (B) Que cada expositor presente una sección sin roles fijos: descartada, porque pierde el reparto de un experimento, dos aciertos y dos críticas. (C) La elegida, que combina las dos: recorrido en orden y roles fijos.</w:t>
      </w:r>
    </w:p>
    <w:bookmarkStart w:id="20" w:name="X47a17a1a77a1e83930287cfd0d9e54fc4b42c87"/>
    <w:p>
      <w:pPr>
        <w:pStyle w:val="Heading3"/>
      </w:pPr>
      <w:r>
        <w:t xml:space="preserve">Dónde se responde cada pregunta de la guía de lectura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Pregunta de la guía de lectura (consigna)</w:t>
            </w:r>
          </w:p>
        </w:tc>
        <w:tc>
          <w:tcPr/>
          <w:p>
            <w:pPr>
              <w:pStyle w:val="Compact"/>
              <w:jc w:val="left"/>
            </w:pPr>
            <w:r>
              <w:t xml:space="preserve">Quién</w:t>
            </w:r>
          </w:p>
        </w:tc>
        <w:tc>
          <w:tcPr/>
          <w:p>
            <w:pPr>
              <w:pStyle w:val="Compact"/>
              <w:jc w:val="left"/>
            </w:pPr>
            <w:r>
              <w:t xml:space="preserve">Diapositiva</w:t>
            </w:r>
          </w:p>
        </w:tc>
      </w:tr>
      <w:tr>
        <w:tc>
          <w:tcPr/>
          <w:p>
            <w:pPr>
              <w:pStyle w:val="Compact"/>
              <w:jc w:val="left"/>
            </w:pPr>
            <w:r>
              <w:t xml:space="preserve">1. Principales conceptos de la introducción y el marco teórico</w:t>
            </w:r>
          </w:p>
        </w:tc>
        <w:tc>
          <w:tcPr/>
          <w:p>
            <w:pPr>
              <w:pStyle w:val="Compact"/>
              <w:jc w:val="left"/>
            </w:pPr>
            <w:r>
              <w:t xml:space="preserve">Expositor/a 1</w:t>
            </w:r>
          </w:p>
        </w:tc>
        <w:tc>
          <w:tcPr/>
          <w:p>
            <w:pPr>
              <w:pStyle w:val="Compact"/>
              <w:jc w:val="left"/>
            </w:pPr>
            <w:r>
              <w:t xml:space="preserve">2</w:t>
            </w:r>
          </w:p>
        </w:tc>
      </w:tr>
      <w:tr>
        <w:tc>
          <w:tcPr/>
          <w:p>
            <w:pPr>
              <w:pStyle w:val="Compact"/>
              <w:jc w:val="left"/>
            </w:pPr>
            <w:r>
              <w:t xml:space="preserve">2. Relación que plantea el autor entre los conceptos</w:t>
            </w:r>
          </w:p>
        </w:tc>
        <w:tc>
          <w:tcPr/>
          <w:p>
            <w:pPr>
              <w:pStyle w:val="Compact"/>
              <w:jc w:val="left"/>
            </w:pPr>
            <w:r>
              <w:t xml:space="preserve">Expositor/a 1 (hipótesis)</w:t>
            </w:r>
          </w:p>
        </w:tc>
        <w:tc>
          <w:tcPr/>
          <w:p>
            <w:pPr>
              <w:pStyle w:val="Compact"/>
              <w:jc w:val="left"/>
            </w:pPr>
            <w:r>
              <w:t xml:space="preserve">2</w:t>
            </w:r>
          </w:p>
        </w:tc>
      </w:tr>
      <w:tr>
        <w:tc>
          <w:tcPr/>
          <w:p>
            <w:pPr>
              <w:pStyle w:val="Compact"/>
              <w:jc w:val="left"/>
            </w:pPr>
            <w:r>
              <w:t xml:space="preserve">3. Objetivo general y objetivos específicos</w:t>
            </w:r>
          </w:p>
        </w:tc>
        <w:tc>
          <w:tcPr/>
          <w:p>
            <w:pPr>
              <w:pStyle w:val="Compact"/>
              <w:jc w:val="left"/>
            </w:pPr>
            <w:r>
              <w:t xml:space="preserve">Expositor/a 1</w:t>
            </w:r>
          </w:p>
        </w:tc>
        <w:tc>
          <w:tcPr/>
          <w:p>
            <w:pPr>
              <w:pStyle w:val="Compact"/>
              <w:jc w:val="left"/>
            </w:pPr>
            <w:r>
              <w:t xml:space="preserve">3</w:t>
            </w:r>
          </w:p>
        </w:tc>
      </w:tr>
      <w:tr>
        <w:tc>
          <w:tcPr/>
          <w:p>
            <w:pPr>
              <w:pStyle w:val="Compact"/>
              <w:jc w:val="left"/>
            </w:pPr>
            <w:r>
              <w:t xml:space="preserve">4. Participantes</w:t>
            </w:r>
          </w:p>
        </w:tc>
        <w:tc>
          <w:tcPr/>
          <w:p>
            <w:pPr>
              <w:pStyle w:val="Compact"/>
              <w:jc w:val="left"/>
            </w:pPr>
            <w:r>
              <w:t xml:space="preserve">Expositor/a 1</w:t>
            </w:r>
          </w:p>
        </w:tc>
        <w:tc>
          <w:tcPr/>
          <w:p>
            <w:pPr>
              <w:pStyle w:val="Compact"/>
              <w:jc w:val="left"/>
            </w:pPr>
            <w:r>
              <w:t xml:space="preserve">4</w:t>
            </w:r>
          </w:p>
        </w:tc>
      </w:tr>
      <w:tr>
        <w:tc>
          <w:tcPr/>
          <w:p>
            <w:pPr>
              <w:pStyle w:val="Compact"/>
              <w:jc w:val="left"/>
            </w:pPr>
            <w:r>
              <w:t xml:space="preserve">5. Instrumentos y variables</w:t>
            </w:r>
          </w:p>
        </w:tc>
        <w:tc>
          <w:tcPr/>
          <w:p>
            <w:pPr>
              <w:pStyle w:val="Compact"/>
              <w:jc w:val="left"/>
            </w:pPr>
            <w:r>
              <w:t xml:space="preserve">Expositor/a 1</w:t>
            </w:r>
          </w:p>
        </w:tc>
        <w:tc>
          <w:tcPr/>
          <w:p>
            <w:pPr>
              <w:pStyle w:val="Compact"/>
              <w:jc w:val="left"/>
            </w:pPr>
            <w:r>
              <w:t xml:space="preserve">4</w:t>
            </w:r>
          </w:p>
        </w:tc>
      </w:tr>
      <w:tr>
        <w:tc>
          <w:tcPr/>
          <w:p>
            <w:pPr>
              <w:pStyle w:val="Compact"/>
              <w:jc w:val="left"/>
            </w:pPr>
            <w:r>
              <w:t xml:space="preserve">6. Conclusiones del autor</w:t>
            </w:r>
          </w:p>
        </w:tc>
        <w:tc>
          <w:tcPr/>
          <w:p>
            <w:pPr>
              <w:pStyle w:val="Compact"/>
              <w:jc w:val="left"/>
            </w:pPr>
            <w:r>
              <w:t xml:space="preserve">Expositores 1 (de la evidencia), 2 (del modelo) y 5 (generales)</w:t>
            </w:r>
          </w:p>
        </w:tc>
        <w:tc>
          <w:tcPr/>
          <w:p>
            <w:pPr>
              <w:pStyle w:val="Compact"/>
              <w:jc w:val="left"/>
            </w:pPr>
            <w:r>
              <w:t xml:space="preserve">5, 7 y 15</w:t>
            </w:r>
          </w:p>
        </w:tc>
      </w:tr>
      <w:tr>
        <w:tc>
          <w:tcPr/>
          <w:p>
            <w:pPr>
              <w:pStyle w:val="Compact"/>
              <w:jc w:val="left"/>
            </w:pPr>
            <w:r>
              <w:t xml:space="preserve">7. Críticas y mejoras</w:t>
            </w:r>
          </w:p>
        </w:tc>
        <w:tc>
          <w:tcPr/>
          <w:p>
            <w:pPr>
              <w:pStyle w:val="Compact"/>
              <w:jc w:val="left"/>
            </w:pPr>
            <w:r>
              <w:t xml:space="preserve">Expositores 4 y 5</w:t>
            </w:r>
          </w:p>
        </w:tc>
        <w:tc>
          <w:tcPr/>
          <w:p>
            <w:pPr>
              <w:pStyle w:val="Compact"/>
              <w:jc w:val="left"/>
            </w:pPr>
            <w:r>
              <w:t xml:space="preserve">11-14</w:t>
            </w:r>
          </w:p>
        </w:tc>
      </w:tr>
    </w:tbl>
    <w:p>
      <w:pPr>
        <w:pStyle w:val="BlockText"/>
      </w:pPr>
      <w:r>
        <w:rPr>
          <w:bCs/>
          <w:b/>
        </w:rPr>
        <w:t xml:space="preserve">Aviso sobre las fuentes:</w:t>
      </w:r>
      <w:r>
        <w:t xml:space="preserve"> </w:t>
      </w:r>
      <w:r>
        <w:t xml:space="preserve">el artículo se leyó del PDF original, pasado a texto en</w:t>
      </w:r>
      <w:r>
        <w:t xml:space="preserve"> </w:t>
      </w:r>
      <w:r>
        <w:rPr>
          <w:rStyle w:val="VerbatimChar"/>
        </w:rPr>
        <w:t xml:space="preserve">2_Textos_Extraidos/U03_DeNeys_AdvancingTheorizingAboutFastAndSlowThinking_Crudo.md</w:t>
      </w:r>
      <w:r>
        <w:t xml:space="preserve"> </w:t>
      </w:r>
      <w:r>
        <w:t xml:space="preserve">(no se sube a git). Ese PDF trae el artículo central (pp. 1-16), los 34 comentarios (pp. 19-66) y la respuesta del autor (pp. 66-71); las páginas citadas son las de la revista. La bibliografía de la unidad sale de las guías de U03: las páginas de</w:t>
      </w:r>
      <w:r>
        <w:t xml:space="preserve"> </w:t>
      </w:r>
      <w:r>
        <w:rPr>
          <w:bCs/>
          <w:b/>
        </w:rPr>
        <w:t xml:space="preserve">Valiña y Martín (2014)</w:t>
      </w:r>
      <w:r>
        <w:t xml:space="preserve"> </w:t>
      </w:r>
      <w:r>
        <w:t xml:space="preserve">son las del PDF digitalizado (1-22), y las de</w:t>
      </w:r>
      <w:r>
        <w:t xml:space="preserve"> </w:t>
      </w:r>
      <w:r>
        <w:rPr>
          <w:bCs/>
          <w:b/>
        </w:rPr>
        <w:t xml:space="preserve">Quiroga (2013)</w:t>
      </w:r>
      <w:r>
        <w:t xml:space="preserve"> </w:t>
      </w:r>
      <w:r>
        <w:t xml:space="preserve">son las de la revista (la página 1 del PDF es la 69). Los números del ejemplo de la fórmula de incertidumbre son</w:t>
      </w:r>
      <w:r>
        <w:t xml:space="preserve"> </w:t>
      </w:r>
      <w:r>
        <w:rPr>
          <w:bCs/>
          <w:b/>
        </w:rPr>
        <w:t xml:space="preserve">nuestros</w:t>
      </w:r>
      <w:r>
        <w:t xml:space="preserve">, no del texto.</w:t>
      </w:r>
    </w:p>
    <w:p>
      <w:pPr>
        <w:pStyle w:val="BlockText"/>
      </w:pPr>
      <w:r>
        <w:rPr>
          <w:bCs/>
          <w:b/>
        </w:rPr>
        <w:t xml:space="preserve">Aviso sobre el</w:t>
      </w:r>
      <w:r>
        <w:rPr>
          <w:bCs/>
          <w:b/>
        </w:rPr>
        <w:t xml:space="preserve"> </w:t>
      </w:r>
      <w:r>
        <w:rPr>
          <w:bCs/>
          <w:b/>
        </w:rPr>
        <w:t xml:space="preserve">“</w:t>
      </w:r>
      <w:r>
        <w:rPr>
          <w:bCs/>
          <w:b/>
        </w:rPr>
        <w:t xml:space="preserve">experimento</w:t>
      </w:r>
      <w:r>
        <w:rPr>
          <w:bCs/>
          <w:b/>
        </w:rPr>
        <w:t xml:space="preserve">”</w:t>
      </w:r>
      <w:r>
        <w:rPr>
          <w:bCs/>
          <w:b/>
        </w:rPr>
        <w:t xml:space="preserve">:</w:t>
      </w:r>
      <w:r>
        <w:t xml:space="preserve"> </w:t>
      </w:r>
      <w:r>
        <w:t xml:space="preserve">De Neys (2023a) es una</w:t>
      </w:r>
      <w:r>
        <w:t xml:space="preserve"> </w:t>
      </w:r>
      <w:r>
        <w:rPr>
          <w:bCs/>
          <w:b/>
        </w:rPr>
        <w:t xml:space="preserve">revisión teórica</w:t>
      </w:r>
      <w:r>
        <w:t xml:space="preserve">: no tiene experimento ni participantes propios. El expositor 1 presenta el</w:t>
      </w:r>
      <w:r>
        <w:t xml:space="preserve"> </w:t>
      </w:r>
      <w:r>
        <w:rPr>
          <w:bCs/>
          <w:b/>
        </w:rPr>
        <w:t xml:space="preserve">paradigma experimental</w:t>
      </w:r>
      <w:r>
        <w:t xml:space="preserve"> </w:t>
      </w:r>
      <w:r>
        <w:t xml:space="preserve">en el que se apoya la revisión, y lo dice en voz alta.</w:t>
      </w:r>
    </w:p>
    <w:p>
      <w:r>
        <w:pict>
          <v:rect style="width:0;height:1.5pt" o:hralign="center" o:hrstd="t" o:hr="t"/>
        </w:pict>
      </w:r>
    </w:p>
    <w:bookmarkEnd w:id="20"/>
    <w:bookmarkEnd w:id="21"/>
    <w:bookmarkStart w:id="27" w:name="X07bb7a05fa6b15b7b9d5a5cbd93eb6b4f568a21"/>
    <w:p>
      <w:pPr>
        <w:pStyle w:val="Heading2"/>
      </w:pPr>
      <w:r>
        <w:t xml:space="preserve">Expositor/a 1 — El artículo y el experimento (3:00)</w:t>
      </w:r>
    </w:p>
    <w:bookmarkStart w:id="22" w:name="diapositiva-1-portada-010"/>
    <w:p>
      <w:pPr>
        <w:pStyle w:val="Heading3"/>
      </w:pPr>
      <w:r>
        <w:t xml:space="preserve">Diapositiva 1 — Portada (0:10)</w:t>
      </w:r>
    </w:p>
    <w:p>
      <w:pPr>
        <w:pStyle w:val="FirstParagraph"/>
      </w:pPr>
      <w:r>
        <w:t xml:space="preserve">Buenas tardes. Vamos a presentar</w:t>
      </w:r>
      <w:r>
        <w:t xml:space="preserve"> </w:t>
      </w:r>
      <w:r>
        <w:rPr>
          <w:iCs/>
          <w:i/>
        </w:rPr>
        <w:t xml:space="preserve">Advancing theorizing about fast-and-slow thinking</w:t>
      </w:r>
      <w:r>
        <w:t xml:space="preserve">, de Wim De Neys (2023). Lo vamos a recorrer en su propio orden, diciendo en cada parte qué acierta y qué falla.</w:t>
      </w:r>
    </w:p>
    <w:bookmarkEnd w:id="22"/>
    <w:bookmarkStart w:id="23" w:name="X6e936fb2affe76455f55f5304401cb85f5e1b5e"/>
    <w:p>
      <w:pPr>
        <w:pStyle w:val="Heading3"/>
      </w:pPr>
      <w:r>
        <w:t xml:space="preserve">Diapositiva 2 — El problema y la hipótesis (0:40)</w:t>
      </w:r>
    </w:p>
    <w:p>
      <w:pPr>
        <w:pStyle w:val="FirstParagraph"/>
      </w:pPr>
      <w:r>
        <w:t xml:space="preserve">Los modelos de proceso dual distinguen un</w:t>
      </w:r>
      <w:r>
        <w:t xml:space="preserve"> </w:t>
      </w:r>
      <w:r>
        <w:rPr>
          <w:bCs/>
          <w:b/>
        </w:rPr>
        <w:t xml:space="preserve">sistema 1</w:t>
      </w:r>
      <w:r>
        <w:t xml:space="preserve">, intuitivo, rápido y sin esfuerzo, y un</w:t>
      </w:r>
      <w:r>
        <w:t xml:space="preserve"> </w:t>
      </w:r>
      <w:r>
        <w:rPr>
          <w:bCs/>
          <w:b/>
        </w:rPr>
        <w:t xml:space="preserve">sistema 2</w:t>
      </w:r>
      <w:r>
        <w:t xml:space="preserve">, deliberado, lento y costoso. De Neys cuestiona dos supuestos. La</w:t>
      </w:r>
      <w:r>
        <w:t xml:space="preserve"> </w:t>
      </w:r>
      <w:r>
        <w:rPr>
          <w:bCs/>
          <w:b/>
        </w:rPr>
        <w:t xml:space="preserve">exclusividad</w:t>
      </w:r>
      <w:r>
        <w:t xml:space="preserve">: que la respuesta correcta solo la da el sistema 2, corrigiendo una intuición equivocada. Y el</w:t>
      </w:r>
      <w:r>
        <w:t xml:space="preserve"> </w:t>
      </w:r>
      <w:r>
        <w:rPr>
          <w:bCs/>
          <w:b/>
        </w:rPr>
        <w:t xml:space="preserve">mecanismo de cambio</w:t>
      </w:r>
      <w:r>
        <w:t xml:space="preserve">: cómo sabe una persona, sin ayuda externa, cuándo dejar la intuición y ponerse a pensar. Su</w:t>
      </w:r>
      <w:r>
        <w:t xml:space="preserve"> </w:t>
      </w:r>
      <w:r>
        <w:rPr>
          <w:bCs/>
          <w:b/>
        </w:rPr>
        <w:t xml:space="preserve">hipótesis</w:t>
      </w:r>
      <w:r>
        <w:t xml:space="preserve"> </w:t>
      </w:r>
      <w:r>
        <w:t xml:space="preserve">es que los dos problemas están ligados: mientras haya exclusividad, no puede haber un mecanismo de cambio coherente (De Neys, 2023a, pp. 1-2).</w:t>
      </w:r>
    </w:p>
    <w:bookmarkEnd w:id="23"/>
    <w:bookmarkStart w:id="24" w:name="X997eb37edc6656cc990a15b8abb6112d334fa3d"/>
    <w:p>
      <w:pPr>
        <w:pStyle w:val="Heading3"/>
      </w:pPr>
      <w:r>
        <w:t xml:space="preserve">Diapositiva 3 — Objetivos y estructura del artículo (0:35)</w:t>
      </w:r>
    </w:p>
    <w:p>
      <w:pPr>
        <w:pStyle w:val="FirstParagraph"/>
      </w:pPr>
      <w:r>
        <w:t xml:space="preserve">El</w:t>
      </w:r>
      <w:r>
        <w:t xml:space="preserve"> </w:t>
      </w:r>
      <w:r>
        <w:rPr>
          <w:bCs/>
          <w:b/>
        </w:rPr>
        <w:t xml:space="preserve">objetivo general</w:t>
      </w:r>
      <w:r>
        <w:t xml:space="preserve"> </w:t>
      </w:r>
      <w:r>
        <w:t xml:space="preserve">es revisar esos supuestos y proponer una arquitectura dual más viable. Los</w:t>
      </w:r>
      <w:r>
        <w:t xml:space="preserve"> </w:t>
      </w:r>
      <w:r>
        <w:rPr>
          <w:bCs/>
          <w:b/>
        </w:rPr>
        <w:t xml:space="preserve">objetivos específicos</w:t>
      </w:r>
      <w:r>
        <w:t xml:space="preserve"> </w:t>
      </w:r>
      <w:r>
        <w:t xml:space="preserve">son las cuatro secciones del artículo: revisar la evidencia sobre la exclusividad, analizar las explicaciones del cambio, proponer un modelo y plantear las preguntas pendientes. Y es un artículo de</w:t>
      </w:r>
      <w:r>
        <w:t xml:space="preserve"> </w:t>
      </w:r>
      <w:r>
        <w:rPr>
          <w:bCs/>
          <w:b/>
        </w:rPr>
        <w:t xml:space="preserve">comentario abierto</w:t>
      </w:r>
      <w:r>
        <w:t xml:space="preserve">: sale publicado junto con 34 comentarios y una respuesta del autor (De Neys, 2023a, p. 1; 2023b, p. 66). Nuestra presentación sigue ese mismo orden.</w:t>
      </w:r>
    </w:p>
    <w:bookmarkEnd w:id="24"/>
    <w:bookmarkStart w:id="25" w:name="X085fe9f3c46aa4f453cdd957011c02bd6d04356"/>
    <w:p>
      <w:pPr>
        <w:pStyle w:val="Heading3"/>
      </w:pPr>
      <w:r>
        <w:t xml:space="preserve">Diapositiva 4 — Método: participantes, instrumentos y variables (0:50)</w:t>
      </w:r>
    </w:p>
    <w:p>
      <w:pPr>
        <w:pStyle w:val="FirstParagraph"/>
      </w:pPr>
      <w:r>
        <w:t xml:space="preserve">No es un estudio empírico sino una</w:t>
      </w:r>
      <w:r>
        <w:t xml:space="preserve"> </w:t>
      </w:r>
      <w:r>
        <w:rPr>
          <w:bCs/>
          <w:b/>
        </w:rPr>
        <w:t xml:space="preserve">revisión teórica</w:t>
      </w:r>
      <w:r>
        <w:t xml:space="preserve">: no tiene participantes propios, y revisa estudios con adultos sobre razonamiento lógico, juicio moral y cooperación. El instrumento central es el</w:t>
      </w:r>
      <w:r>
        <w:t xml:space="preserve"> </w:t>
      </w:r>
      <w:r>
        <w:rPr>
          <w:bCs/>
          <w:b/>
        </w:rPr>
        <w:t xml:space="preserve">paradigma de dos respuestas</w:t>
      </w:r>
      <w:r>
        <w:t xml:space="preserve">: se responde dos veces, primero con presión de tiempo y una tarea de memoria, para impedir la deliberación, y después sin límite. Por ejemplo:</w:t>
      </w:r>
      <w:r>
        <w:t xml:space="preserve"> </w:t>
      </w:r>
      <w:r>
        <w:t xml:space="preserve">“</w:t>
      </w:r>
      <w:r>
        <w:t xml:space="preserve">un bate y una pelota cuestan 1,10 dólares; el bate cuesta 1 dólar más; ¿cuánto cuesta la pelota?</w:t>
      </w:r>
      <w:r>
        <w:t xml:space="preserve">”</w:t>
      </w:r>
      <w:r>
        <w:t xml:space="preserve">. Salta</w:t>
      </w:r>
      <w:r>
        <w:t xml:space="preserve"> </w:t>
      </w:r>
      <w:r>
        <w:t xml:space="preserve">“</w:t>
      </w:r>
      <w:r>
        <w:t xml:space="preserve">10 centavos</w:t>
      </w:r>
      <w:r>
        <w:t xml:space="preserve">”</w:t>
      </w:r>
      <w:r>
        <w:t xml:space="preserve">; lo correcto es 5. Se miden la respuesta, el tiempo y la confianza, en problemas</w:t>
      </w:r>
      <w:r>
        <w:t xml:space="preserve"> </w:t>
      </w:r>
      <w:r>
        <w:rPr>
          <w:bCs/>
          <w:b/>
        </w:rPr>
        <w:t xml:space="preserve">con</w:t>
      </w:r>
      <w:r>
        <w:t xml:space="preserve"> </w:t>
      </w:r>
      <w:r>
        <w:t xml:space="preserve">y</w:t>
      </w:r>
      <w:r>
        <w:t xml:space="preserve"> </w:t>
      </w:r>
      <w:r>
        <w:rPr>
          <w:bCs/>
          <w:b/>
        </w:rPr>
        <w:t xml:space="preserve">sin conflicto</w:t>
      </w:r>
      <w:r>
        <w:t xml:space="preserve"> </w:t>
      </w:r>
      <w:r>
        <w:t xml:space="preserve">(De Neys, 2023a, pp. 3-5).</w:t>
      </w:r>
    </w:p>
    <w:bookmarkEnd w:id="25"/>
    <w:bookmarkStart w:id="26" w:name="Xdd444ecfcc1e6d40eb364bfe5ab49c36be1212d"/>
    <w:p>
      <w:pPr>
        <w:pStyle w:val="Heading3"/>
      </w:pPr>
      <w:r>
        <w:t xml:space="preserve">Diapositiva 5 — Resultados de la revisión (0:45)</w:t>
      </w:r>
    </w:p>
    <w:p>
      <w:pPr>
        <w:pStyle w:val="FirstParagraph"/>
      </w:pPr>
      <w:r>
        <w:t xml:space="preserve">Los</w:t>
      </w:r>
      <w:r>
        <w:t xml:space="preserve"> </w:t>
      </w:r>
      <w:r>
        <w:rPr>
          <w:bCs/>
          <w:b/>
        </w:rPr>
        <w:t xml:space="preserve">resultados</w:t>
      </w:r>
      <w:r>
        <w:t xml:space="preserve"> </w:t>
      </w:r>
      <w:r>
        <w:t xml:space="preserve">son tres. Impedir la deliberación baja el acierto apenas de un 62 % a un 52 % (Lawson et al., 2020, como se citó en De Neys, 2023a, p. 4). Quienes aciertan al final</w:t>
      </w:r>
      <w:r>
        <w:t xml:space="preserve"> </w:t>
      </w:r>
      <w:r>
        <w:rPr>
          <w:bCs/>
          <w:b/>
        </w:rPr>
        <w:t xml:space="preserve">ya acertaban en la respuesta rápida</w:t>
      </w:r>
      <w:r>
        <w:t xml:space="preserve">. Y hasta quienes se equivocan</w:t>
      </w:r>
      <w:r>
        <w:t xml:space="preserve"> </w:t>
      </w:r>
      <w:r>
        <w:rPr>
          <w:bCs/>
          <w:b/>
        </w:rPr>
        <w:t xml:space="preserve">tardan más y confían menos</w:t>
      </w:r>
      <w:r>
        <w:t xml:space="preserve"> </w:t>
      </w:r>
      <w:r>
        <w:t xml:space="preserve">cuando hay conflicto. Conclusión: la respuesta</w:t>
      </w:r>
      <w:r>
        <w:t xml:space="preserve"> </w:t>
      </w:r>
      <w:r>
        <w:t xml:space="preserve">“</w:t>
      </w:r>
      <w:r>
        <w:t xml:space="preserve">del sistema 2</w:t>
      </w:r>
      <w:r>
        <w:t xml:space="preserve">”</w:t>
      </w:r>
      <w:r>
        <w:t xml:space="preserve"> </w:t>
      </w:r>
      <w:r>
        <w:t xml:space="preserve">muchas veces ya es intuitiva, así que la exclusividad no tiene una base empírica sólida (De Neys, 2023a, p. 5). Sigue mi compañero con el cambio.</w:t>
      </w:r>
    </w:p>
    <w:p>
      <w:pPr>
        <w:pStyle w:val="BlockText"/>
      </w:pPr>
      <w:r>
        <w:rPr>
          <w:bCs/>
          <w:b/>
        </w:rPr>
        <w:t xml:space="preserve">Si preguntan qué evidencia sostenía la exclusividad:</w:t>
      </w:r>
      <w:r>
        <w:t xml:space="preserve"> </w:t>
      </w:r>
      <w:r>
        <w:t xml:space="preserve">quienes dan la respuesta</w:t>
      </w:r>
      <w:r>
        <w:t xml:space="preserve"> </w:t>
      </w:r>
      <w:r>
        <w:t xml:space="preserve">“</w:t>
      </w:r>
      <w:r>
        <w:t xml:space="preserve">deliberada</w:t>
      </w:r>
      <w:r>
        <w:t xml:space="preserve">”</w:t>
      </w:r>
      <w:r>
        <w:t xml:space="preserve"> </w:t>
      </w:r>
      <w:r>
        <w:t xml:space="preserve">tardan más y puntúan más alto en capacidad cognitiva, y la presión de tiempo o la carga de memoria reducen esa respuesta (De Neys, 2023a, pp. 3-4). El problema es que los efectos son chicos y varios no se replicaron.</w:t>
      </w:r>
    </w:p>
    <w:p>
      <w:pPr>
        <w:pStyle w:val="FirstParagraph"/>
      </w:pPr>
      <w:r>
        <w:rPr>
          <w:bCs/>
          <w:b/>
        </w:rPr>
        <w:t xml:space="preserve">Bibliografía de esta parte</w:t>
      </w:r>
    </w:p>
    <w:p>
      <w:pPr>
        <w:numPr>
          <w:ilvl w:val="0"/>
          <w:numId w:val="1001"/>
        </w:numPr>
        <w:pStyle w:val="Compac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numPr>
          <w:ilvl w:val="0"/>
          <w:numId w:val="1001"/>
        </w:numPr>
        <w:pStyle w:val="Compac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r>
        <w:pict>
          <v:rect style="width:0;height:1.5pt" o:hralign="center" o:hrstd="t" o:hr="t"/>
        </w:pict>
      </w:r>
    </w:p>
    <w:bookmarkEnd w:id="26"/>
    <w:bookmarkEnd w:id="27"/>
    <w:bookmarkStart w:id="31" w:name="X3a511fc7a2bcb0ddf6433572aac30fff6b306c4"/>
    <w:p>
      <w:pPr>
        <w:pStyle w:val="Heading2"/>
      </w:pPr>
      <w:r>
        <w:t xml:space="preserve">Expositor/a 2 — Acierto 1: un mecanismo de cambio (3:00)</w:t>
      </w:r>
    </w:p>
    <w:bookmarkStart w:id="28" w:name="diapositiva-6-el-problema-del-cambio-055"/>
    <w:p>
      <w:pPr>
        <w:pStyle w:val="Heading3"/>
      </w:pPr>
      <w:r>
        <w:t xml:space="preserve">Diapositiva 6 — El problema del cambio (0:55)</w:t>
      </w:r>
    </w:p>
    <w:p>
      <w:pPr>
        <w:pStyle w:val="FirstParagraph"/>
      </w:pPr>
      <w:r>
        <w:t xml:space="preserve">La segunda sección pregunta cómo se decide pasar al sistema 2, y muestra que las explicaciones tradicionales fallan justamente por la exclusividad. Si el</w:t>
      </w:r>
      <w:r>
        <w:t xml:space="preserve"> </w:t>
      </w:r>
      <w:r>
        <w:rPr>
          <w:bCs/>
          <w:b/>
        </w:rPr>
        <w:t xml:space="preserve">sistema 2 vigila</w:t>
      </w:r>
      <w:r>
        <w:t xml:space="preserve"> </w:t>
      </w:r>
      <w:r>
        <w:t xml:space="preserve">al sistema 1, ya tendría que estar activo para detectar el conflicto: es una paradoja. Si vigila una</w:t>
      </w:r>
      <w:r>
        <w:t xml:space="preserve"> </w:t>
      </w:r>
      <w:r>
        <w:rPr>
          <w:bCs/>
          <w:b/>
        </w:rPr>
        <w:t xml:space="preserve">deliberación de bajo esfuerzo</w:t>
      </w:r>
      <w:r>
        <w:t xml:space="preserve">, el problema solo se corre un paso. Un</w:t>
      </w:r>
      <w:r>
        <w:t xml:space="preserve"> </w:t>
      </w:r>
      <w:r>
        <w:rPr>
          <w:bCs/>
          <w:b/>
        </w:rPr>
        <w:t xml:space="preserve">sistema 3</w:t>
      </w:r>
      <w:r>
        <w:t xml:space="preserve"> </w:t>
      </w:r>
      <w:r>
        <w:t xml:space="preserve">que compare a los dos lleva a una regresión infinita. Si los dos sistemas funcionan</w:t>
      </w:r>
      <w:r>
        <w:t xml:space="preserve"> </w:t>
      </w:r>
      <w:r>
        <w:rPr>
          <w:bCs/>
          <w:b/>
        </w:rPr>
        <w:t xml:space="preserve">siempre en paralelo</w:t>
      </w:r>
      <w:r>
        <w:t xml:space="preserve">, se pierde la economía que justifica tener dos. Y si nunca cambiamos, no se explica a quienes sí aciertan (De Neys, 2023a, pp. 6-7).</w:t>
      </w:r>
    </w:p>
    <w:bookmarkEnd w:id="28"/>
    <w:bookmarkStart w:id="29" w:name="X99e21a649f87bfa499b6c1e069922fef8c8df73"/>
    <w:p>
      <w:pPr>
        <w:pStyle w:val="Heading3"/>
      </w:pPr>
      <w:r>
        <w:t xml:space="preserve">Diapositiva 7 — La propuesta: un modelo no exclusivo (0:50)</w:t>
      </w:r>
    </w:p>
    <w:p>
      <w:pPr>
        <w:pStyle w:val="FirstParagraph"/>
      </w:pPr>
      <w:r>
        <w:t xml:space="preserve">La salida, en la tercera sección, es un modelo de cuatro piezas. El sistema 1 activa</w:t>
      </w:r>
      <w:r>
        <w:t xml:space="preserve"> </w:t>
      </w:r>
      <w:r>
        <w:rPr>
          <w:bCs/>
          <w:b/>
        </w:rPr>
        <w:t xml:space="preserve">varias intuiciones</w:t>
      </w:r>
      <w:r>
        <w:t xml:space="preserve"> </w:t>
      </w:r>
      <w:r>
        <w:t xml:space="preserve">de distinta fuerza, incluida la lógica. Un</w:t>
      </w:r>
      <w:r>
        <w:t xml:space="preserve"> </w:t>
      </w:r>
      <w:r>
        <w:rPr>
          <w:bCs/>
          <w:b/>
        </w:rPr>
        <w:t xml:space="preserve">monitoreo</w:t>
      </w:r>
      <w:r>
        <w:t xml:space="preserve"> </w:t>
      </w:r>
      <w:r>
        <w:t xml:space="preserve">intuitivo compara esas fuerzas: cuanto más parecidas, más incertidumbre, y pasado un</w:t>
      </w:r>
      <w:r>
        <w:t xml:space="preserve"> </w:t>
      </w:r>
      <w:r>
        <w:rPr>
          <w:bCs/>
          <w:b/>
        </w:rPr>
        <w:t xml:space="preserve">umbral</w:t>
      </w:r>
      <w:r>
        <w:t xml:space="preserve"> </w:t>
      </w:r>
      <w:r>
        <w:t xml:space="preserve">se activa el sistema 2. La</w:t>
      </w:r>
      <w:r>
        <w:t xml:space="preserve"> </w:t>
      </w:r>
      <w:r>
        <w:rPr>
          <w:bCs/>
          <w:b/>
        </w:rPr>
        <w:t xml:space="preserve">deliberación</w:t>
      </w:r>
      <w:r>
        <w:t xml:space="preserve"> </w:t>
      </w:r>
      <w:r>
        <w:t xml:space="preserve">puede inhibir, calcular o solo justificar. Y una</w:t>
      </w:r>
      <w:r>
        <w:t xml:space="preserve"> </w:t>
      </w:r>
      <w:r>
        <w:rPr>
          <w:bCs/>
          <w:b/>
        </w:rPr>
        <w:t xml:space="preserve">retroalimentación</w:t>
      </w:r>
      <w:r>
        <w:t xml:space="preserve"> </w:t>
      </w:r>
      <w:r>
        <w:t xml:space="preserve">cambia la fuerza de las intuiciones y apaga la deliberación cuando baja la incertidumbre. Por eso concluye que todo modelo dual viable tiene que ser</w:t>
      </w:r>
      <w:r>
        <w:t xml:space="preserve"> </w:t>
      </w:r>
      <w:r>
        <w:rPr>
          <w:bCs/>
          <w:b/>
        </w:rPr>
        <w:t xml:space="preserve">no exclusivo</w:t>
      </w:r>
      <w:r>
        <w:t xml:space="preserve"> </w:t>
      </w:r>
      <w:r>
        <w:t xml:space="preserve">(De Neys, 2023a, pp. 7-11).</w:t>
      </w:r>
    </w:p>
    <w:p>
      <w:pPr>
        <w:pStyle w:val="BlockText"/>
      </w:pPr>
      <w:r>
        <w:rPr>
          <w:bCs/>
          <w:b/>
        </w:rPr>
        <w:t xml:space="preserve">Si preguntan por la fórmula</w:t>
      </w:r>
      <w:r>
        <w:t xml:space="preserve"> </w:t>
      </w:r>
      <w:r>
        <w:t xml:space="preserve">(ejemplo nuestro, no del texto): U = 1 − |I1 − I2|. Si la intuición</w:t>
      </w:r>
      <w:r>
        <w:t xml:space="preserve"> </w:t>
      </w:r>
      <w:r>
        <w:t xml:space="preserve">“</w:t>
      </w:r>
      <w:r>
        <w:t xml:space="preserve">10 centavos</w:t>
      </w:r>
      <w:r>
        <w:t xml:space="preserve">”</w:t>
      </w:r>
      <w:r>
        <w:t xml:space="preserve"> </w:t>
      </w:r>
      <w:r>
        <w:t xml:space="preserve">tiene fuerza 0,8 y la de</w:t>
      </w:r>
      <w:r>
        <w:t xml:space="preserve"> </w:t>
      </w:r>
      <w:r>
        <w:t xml:space="preserve">“</w:t>
      </w:r>
      <w:r>
        <w:t xml:space="preserve">5 centavos</w:t>
      </w:r>
      <w:r>
        <w:t xml:space="preserve">”</w:t>
      </w:r>
      <w:r>
        <w:t xml:space="preserve"> </w:t>
      </w:r>
      <w:r>
        <w:t xml:space="preserve">0,3, U = 1 − 0,5 = 0,5. Si las dos valen 0,6, U = 1 − 0 = 1: máxima incertidumbre, y ahí se activa el sistema 2 (De Neys, 2023a, p. 8).</w:t>
      </w:r>
    </w:p>
    <w:bookmarkEnd w:id="29"/>
    <w:bookmarkStart w:id="30" w:name="X01a664345590035fafc2a16e42f8e7d23a89594"/>
    <w:p>
      <w:pPr>
        <w:pStyle w:val="Heading3"/>
      </w:pPr>
      <w:r>
        <w:t xml:space="preserve">Diapositiva 8 — Acierto 1: el control que faltaba (1:10)</w:t>
      </w:r>
    </w:p>
    <w:p>
      <w:pPr>
        <w:pStyle w:val="FirstParagraph"/>
      </w:pPr>
      <w:r>
        <w:t xml:space="preserve">Nuestro primer acierto es que el modelo especifica un mecanismo que, en la materia, vimos que faltaba. En la teoría heurístico-analítica de Evans, el estadio</w:t>
      </w:r>
      <w:r>
        <w:t xml:space="preserve"> </w:t>
      </w:r>
      <w:r>
        <w:rPr>
          <w:bCs/>
          <w:b/>
        </w:rPr>
        <w:t xml:space="preserve">heurístico</w:t>
      </w:r>
      <w:r>
        <w:t xml:space="preserve"> </w:t>
      </w:r>
      <w:r>
        <w:t xml:space="preserve">selecciona la información relevante y el</w:t>
      </w:r>
      <w:r>
        <w:t xml:space="preserve"> </w:t>
      </w:r>
      <w:r>
        <w:rPr>
          <w:bCs/>
          <w:b/>
        </w:rPr>
        <w:t xml:space="preserve">analítico</w:t>
      </w:r>
      <w:r>
        <w:t xml:space="preserve"> </w:t>
      </w:r>
      <w:r>
        <w:t xml:space="preserve">deduce; los sesgos se atribuyen al primero y la competencia, al segundo (Valiña y Martín, 2014, pp. 19-20, 22). Esa es la exclusividad, y Evans no explicaba</w:t>
      </w:r>
      <w:r>
        <w:t xml:space="preserve"> </w:t>
      </w:r>
      <w:r>
        <w:rPr>
          <w:bCs/>
          <w:b/>
        </w:rPr>
        <w:t xml:space="preserve">qué activa</w:t>
      </w:r>
      <w:r>
        <w:t xml:space="preserve"> </w:t>
      </w:r>
      <w:r>
        <w:t xml:space="preserve">el estadio analítico; De Neys sí: la incertidumbre. Además, que deliberar a veces solo</w:t>
      </w:r>
      <w:r>
        <w:t xml:space="preserve"> </w:t>
      </w:r>
      <w:r>
        <w:rPr>
          <w:bCs/>
          <w:b/>
        </w:rPr>
        <w:t xml:space="preserve">justifique</w:t>
      </w:r>
      <w:r>
        <w:t xml:space="preserve"> </w:t>
      </w:r>
      <w:r>
        <w:t xml:space="preserve">la intuición coincide con Evans:</w:t>
      </w:r>
      <w:r>
        <w:t xml:space="preserve"> </w:t>
      </w:r>
      <w:r>
        <w:t xml:space="preserve">“</w:t>
      </w:r>
      <w:r>
        <w:t xml:space="preserve">las personas cometen errores en razonamiento porque piensan selectivamente</w:t>
      </w:r>
      <w:r>
        <w:t xml:space="preserve">”</w:t>
      </w:r>
      <w:r>
        <w:t xml:space="preserve"> </w:t>
      </w:r>
      <w:r>
        <w:t xml:space="preserve">(Valiña y Martín, 2014, p. 20).</w:t>
      </w:r>
    </w:p>
    <w:p>
      <w:pPr>
        <w:pStyle w:val="BodyText"/>
      </w:pPr>
      <w:r>
        <w:t xml:space="preserve">Y responde a algo que la psicología cognitiva planteó desde el principio: un sistema que infiere necesita un</w:t>
      </w:r>
      <w:r>
        <w:t xml:space="preserve"> </w:t>
      </w:r>
      <w:r>
        <w:rPr>
          <w:bCs/>
          <w:b/>
        </w:rPr>
        <w:t xml:space="preserve">mecanismo de control</w:t>
      </w:r>
      <w:r>
        <w:t xml:space="preserve"> </w:t>
      </w:r>
      <w:r>
        <w:t xml:space="preserve">que elija las inferencias relevantes, para no perderse en un sinfín de inferencias posibles (González Labra, s. f., p. 15). La retroalimentación de De Neys es ese control: explica no solo qué nos hace pensar, sino también qué nos hace</w:t>
      </w:r>
      <w:r>
        <w:t xml:space="preserve"> </w:t>
      </w:r>
      <w:r>
        <w:rPr>
          <w:bCs/>
          <w:b/>
        </w:rPr>
        <w:t xml:space="preserve">dejar de pensar</w:t>
      </w:r>
      <w:r>
        <w:t xml:space="preserve"> </w:t>
      </w:r>
      <w:r>
        <w:t xml:space="preserve">(De Neys, 2023a, p. 10).</w:t>
      </w:r>
    </w:p>
    <w:p>
      <w:pPr>
        <w:pStyle w:val="BodyText"/>
      </w:pPr>
      <w:r>
        <w:rPr>
          <w:bCs/>
          <w:b/>
        </w:rPr>
        <w:t xml:space="preserve">Bibliografía de esta parte</w:t>
      </w:r>
    </w:p>
    <w:p>
      <w:pPr>
        <w:numPr>
          <w:ilvl w:val="0"/>
          <w:numId w:val="1002"/>
        </w:numPr>
        <w:pStyle w:val="Compac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numPr>
          <w:ilvl w:val="0"/>
          <w:numId w:val="1002"/>
        </w:numPr>
        <w:pStyle w:val="Compact"/>
      </w:pPr>
      <w:r>
        <w:t xml:space="preserve">González Labra, M. J. (s. f.). Psicología del pensamiento: Esbozo histórico. En</w:t>
      </w:r>
      <w:r>
        <w:t xml:space="preserve"> </w:t>
      </w:r>
      <w:r>
        <w:rPr>
          <w:iCs/>
          <w:i/>
        </w:rPr>
        <w:t xml:space="preserve">Psicología del pensamiento</w:t>
      </w:r>
      <w:r>
        <w:t xml:space="preserve"> </w:t>
      </w:r>
      <w:r>
        <w:t xml:space="preserve">(cap. 1, pp. 1-22). UNED.</w:t>
      </w:r>
    </w:p>
    <w:p>
      <w:pPr>
        <w:numPr>
          <w:ilvl w:val="0"/>
          <w:numId w:val="1002"/>
        </w:numPr>
        <w:pStyle w:val="Compact"/>
      </w:pPr>
      <w:r>
        <w:t xml:space="preserve">Valiña, M. D., y Martín, M. (2014). Razonamiento pragmático. En M. Carretero y M. Asensio (Coords.),</w:t>
      </w:r>
      <w:r>
        <w:t xml:space="preserve"> </w:t>
      </w:r>
      <w:r>
        <w:rPr>
          <w:iCs/>
          <w:i/>
        </w:rPr>
        <w:t xml:space="preserve">Psicología del pensamiento: Teoría y prácticas</w:t>
      </w:r>
      <w:r>
        <w:t xml:space="preserve"> </w:t>
      </w:r>
      <w:r>
        <w:t xml:space="preserve">(cap. 6). Alianza.</w:t>
      </w:r>
    </w:p>
    <w:p>
      <w:r>
        <w:pict>
          <v:rect style="width:0;height:1.5pt" o:hralign="center" o:hrstd="t" o:hr="t"/>
        </w:pict>
      </w:r>
    </w:p>
    <w:bookmarkEnd w:id="30"/>
    <w:bookmarkEnd w:id="31"/>
    <w:bookmarkStart w:id="34" w:name="X2359de1599feedcf093925950d6118b1ebb125e"/>
    <w:p>
      <w:pPr>
        <w:pStyle w:val="Heading2"/>
      </w:pPr>
      <w:r>
        <w:t xml:space="preserve">Expositor/a 3 — Acierto 2: la intuición se educa (3:00)</w:t>
      </w:r>
    </w:p>
    <w:bookmarkStart w:id="32" w:name="Xd81a790ee31bfffc54ac2b842b6c42bc8352db7"/>
    <w:p>
      <w:pPr>
        <w:pStyle w:val="Heading3"/>
      </w:pPr>
      <w:r>
        <w:t xml:space="preserve">Diapositiva 9 — Acierto 2: lo deliberado se vuelve intuitivo (1:30)</w:t>
      </w:r>
    </w:p>
    <w:p>
      <w:pPr>
        <w:pStyle w:val="FirstParagraph"/>
      </w:pPr>
      <w:r>
        <w:t xml:space="preserve">El segundo acierto es la pieza más original del modelo: que la respuesta lógica</w:t>
      </w:r>
      <w:r>
        <w:t xml:space="preserve"> </w:t>
      </w:r>
      <w:r>
        <w:rPr>
          <w:bCs/>
          <w:b/>
        </w:rPr>
        <w:t xml:space="preserve">se aprende hasta volverse intuitiva</w:t>
      </w:r>
      <w:r>
        <w:t xml:space="preserve">. De Neys lo ejemplifica con el principio de proporción, que se enseña en la escuela con las fracciones: a fuerza de práctica, lo que era deliberado se automatiza (De Neys, 2023a, pp. 8, 13).</w:t>
      </w:r>
    </w:p>
    <w:p>
      <w:pPr>
        <w:pStyle w:val="BodyText"/>
      </w:pPr>
      <w:r>
        <w:t xml:space="preserve">En la materia lo vimos con otros nombres.</w:t>
      </w:r>
      <w:r>
        <w:t xml:space="preserve"> </w:t>
      </w:r>
      <w:r>
        <w:rPr>
          <w:bCs/>
          <w:b/>
        </w:rPr>
        <w:t xml:space="preserve">Fischbein</w:t>
      </w:r>
      <w:r>
        <w:t xml:space="preserve"> </w:t>
      </w:r>
      <w:r>
        <w:t xml:space="preserve">distingue intuiciones</w:t>
      </w:r>
      <w:r>
        <w:t xml:space="preserve"> </w:t>
      </w:r>
      <w:r>
        <w:rPr>
          <w:bCs/>
          <w:b/>
        </w:rPr>
        <w:t xml:space="preserve">primarias</w:t>
      </w:r>
      <w:r>
        <w:t xml:space="preserve">, que surgen de la experiencia y se parecen a los sesgos, de intuiciones</w:t>
      </w:r>
      <w:r>
        <w:t xml:space="preserve"> </w:t>
      </w:r>
      <w:r>
        <w:rPr>
          <w:bCs/>
          <w:b/>
        </w:rPr>
        <w:t xml:space="preserve">secundarias</w:t>
      </w:r>
      <w:r>
        <w:t xml:space="preserve">, que se logran por instrucción; y</w:t>
      </w:r>
      <w:r>
        <w:t xml:space="preserve"> </w:t>
      </w:r>
      <w:r>
        <w:rPr>
          <w:bCs/>
          <w:b/>
        </w:rPr>
        <w:t xml:space="preserve">Hogarth</w:t>
      </w:r>
      <w:r>
        <w:t xml:space="preserve"> </w:t>
      </w:r>
      <w:r>
        <w:t xml:space="preserve">sostiene que la intuición se puede</w:t>
      </w:r>
      <w:r>
        <w:t xml:space="preserve"> </w:t>
      </w:r>
      <w:r>
        <w:rPr>
          <w:bCs/>
          <w:b/>
        </w:rPr>
        <w:t xml:space="preserve">educar</w:t>
      </w:r>
      <w:r>
        <w:t xml:space="preserve"> </w:t>
      </w:r>
      <w:r>
        <w:t xml:space="preserve">(Pérez Echeverría y Bautista, 2014, pp. 7-8, 18). En solución de problemas, la teoría de</w:t>
      </w:r>
      <w:r>
        <w:t xml:space="preserve"> </w:t>
      </w:r>
      <w:r>
        <w:rPr>
          <w:bCs/>
          <w:b/>
        </w:rPr>
        <w:t xml:space="preserve">Anderson</w:t>
      </w:r>
      <w:r>
        <w:t xml:space="preserve"> </w:t>
      </w:r>
      <w:r>
        <w:t xml:space="preserve">describe cómo el conocimiento declarativo se convierte en procedimientos automáticos, y por eso lo que para el novato es un problema, para el experto es un ejercicio (Pérez Echeverría, 2014, p. 17). Uno de los comentarios al artículo hace esta misma conexión y cita a Fischbein (Ackerman y Morsanyi, 2023, p. 20).</w:t>
      </w:r>
    </w:p>
    <w:bookmarkEnd w:id="32"/>
    <w:bookmarkStart w:id="33" w:name="X8c47b96331b874de3d8d2558d5dd94bf9583c1b"/>
    <w:p>
      <w:pPr>
        <w:pStyle w:val="Heading3"/>
      </w:pPr>
      <w:r>
        <w:t xml:space="preserve">Diapositiva 10 — Lo intuitivo cuesta explicarse (1:20)</w:t>
      </w:r>
    </w:p>
    <w:p>
      <w:pPr>
        <w:pStyle w:val="FirstParagraph"/>
      </w:pPr>
      <w:r>
        <w:t xml:space="preserve">El modelo también acierta en algo que la psicología del pensamiento discute desde sus comienzos. De Neys muestra que quienes aciertan por intuición</w:t>
      </w:r>
      <w:r>
        <w:t xml:space="preserve"> </w:t>
      </w:r>
      <w:r>
        <w:rPr>
          <w:bCs/>
          <w:b/>
        </w:rPr>
        <w:t xml:space="preserve">no saben justificar</w:t>
      </w:r>
      <w:r>
        <w:t xml:space="preserve"> </w:t>
      </w:r>
      <w:r>
        <w:t xml:space="preserve">su respuesta, a diferencia de quienes aciertan después de deliberar (De Neys, 2023a, p. 12). Y aclara que la incertidumbre se siente conscientemente, aunque uno no sepa por qué (De Neys, 2023b, p. 70). Es lo que encontró la</w:t>
      </w:r>
      <w:r>
        <w:t xml:space="preserve"> </w:t>
      </w:r>
      <w:r>
        <w:rPr>
          <w:bCs/>
          <w:b/>
        </w:rPr>
        <w:t xml:space="preserve">escuela de Wurzburgo</w:t>
      </w:r>
      <w:r>
        <w:t xml:space="preserve">: el pensamiento propiamente dicho es inconsciente, y a la conciencia llegan solo sus indicadores (González Labra, s. f., p. 6). Y es lo que Schoenfeld describe en los expertos: sienten que</w:t>
      </w:r>
      <w:r>
        <w:t xml:space="preserve"> </w:t>
      </w:r>
      <w:r>
        <w:t xml:space="preserve">“</w:t>
      </w:r>
      <w:r>
        <w:t xml:space="preserve">van por buen camino</w:t>
      </w:r>
      <w:r>
        <w:t xml:space="preserve">”</w:t>
      </w:r>
      <w:r>
        <w:t xml:space="preserve">, aunque no puedan explicar por qué (Pérez Echeverría, 2014, p. 18).</w:t>
      </w:r>
    </w:p>
    <w:p>
      <w:pPr>
        <w:pStyle w:val="BodyText"/>
      </w:pPr>
      <w:r>
        <w:t xml:space="preserve">Por eso valoramos su método: combina tiempos, confianza, respuestas bajo carga y justificaciones, que es la</w:t>
      </w:r>
      <w:r>
        <w:t xml:space="preserve"> </w:t>
      </w:r>
      <w:r>
        <w:rPr>
          <w:bCs/>
          <w:b/>
        </w:rPr>
        <w:t xml:space="preserve">convergencia de métodos</w:t>
      </w:r>
      <w:r>
        <w:t xml:space="preserve"> </w:t>
      </w:r>
      <w:r>
        <w:t xml:space="preserve">que Pérez Echeverría pedía para estudiar lo implícito (Pérez Echeverría y Bautista, 2014, pp. 18-19). Pero el modelo también tiene límites, y de eso van a hablar mis compañeros.</w:t>
      </w:r>
    </w:p>
    <w:p>
      <w:pPr>
        <w:pStyle w:val="BodyText"/>
      </w:pPr>
      <w:r>
        <w:rPr>
          <w:bCs/>
          <w:b/>
        </w:rPr>
        <w:t xml:space="preserve">Bibliografía de esta parte</w:t>
      </w:r>
    </w:p>
    <w:p>
      <w:pPr>
        <w:numPr>
          <w:ilvl w:val="0"/>
          <w:numId w:val="1003"/>
        </w:numPr>
        <w:pStyle w:val="Compact"/>
      </w:pPr>
      <w:r>
        <w:t xml:space="preserve">Ackerman, R., y Morsanyi, K. (2023). We know what stops you from thinking forever: A metacognitive perspective.</w:t>
      </w:r>
      <w:r>
        <w:t xml:space="preserve"> </w:t>
      </w:r>
      <w:r>
        <w:rPr>
          <w:iCs/>
          <w:i/>
        </w:rPr>
        <w:t xml:space="preserve">Behavioral and Brain Sciences</w:t>
      </w:r>
      <w:r>
        <w:t xml:space="preserve">,</w:t>
      </w:r>
      <w:r>
        <w:t xml:space="preserve"> </w:t>
      </w:r>
      <w:r>
        <w:rPr>
          <w:iCs/>
          <w:i/>
        </w:rPr>
        <w:t xml:space="preserve">46</w:t>
      </w:r>
      <w:r>
        <w:t xml:space="preserve">, Artículo e112. https://doi.org/10.1017/S0140525X22003065</w:t>
      </w:r>
    </w:p>
    <w:p>
      <w:pPr>
        <w:numPr>
          <w:ilvl w:val="0"/>
          <w:numId w:val="1003"/>
        </w:numPr>
        <w:pStyle w:val="Compac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numPr>
          <w:ilvl w:val="0"/>
          <w:numId w:val="1003"/>
        </w:numPr>
        <w:pStyle w:val="Compac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pPr>
        <w:numPr>
          <w:ilvl w:val="0"/>
          <w:numId w:val="1003"/>
        </w:numPr>
        <w:pStyle w:val="Compact"/>
      </w:pPr>
      <w:r>
        <w:t xml:space="preserve">González Labra, M. J. (s. f.). Psicología del pensamiento: Esbozo histórico. En</w:t>
      </w:r>
      <w:r>
        <w:t xml:space="preserve"> </w:t>
      </w:r>
      <w:r>
        <w:rPr>
          <w:iCs/>
          <w:i/>
        </w:rPr>
        <w:t xml:space="preserve">Psicología del pensamiento</w:t>
      </w:r>
      <w:r>
        <w:t xml:space="preserve"> </w:t>
      </w:r>
      <w:r>
        <w:t xml:space="preserve">(cap. 1, pp. 1-22). UNED.</w:t>
      </w:r>
    </w:p>
    <w:p>
      <w:pPr>
        <w:numPr>
          <w:ilvl w:val="0"/>
          <w:numId w:val="1003"/>
        </w:numPr>
        <w:pStyle w:val="Compact"/>
      </w:pPr>
      <w:r>
        <w:t xml:space="preserve">Pérez Echeverría, M. P. (2014). Solución de problemas. En M. Carretero y M. Asensio (Coords.),</w:t>
      </w:r>
      <w:r>
        <w:t xml:space="preserve"> </w:t>
      </w:r>
      <w:r>
        <w:rPr>
          <w:iCs/>
          <w:i/>
        </w:rPr>
        <w:t xml:space="preserve">Psicología del pensamiento: Teoría y prácticas</w:t>
      </w:r>
      <w:r>
        <w:t xml:space="preserve"> </w:t>
      </w:r>
      <w:r>
        <w:t xml:space="preserve">(cap. 8). Alianza.</w:t>
      </w:r>
    </w:p>
    <w:p>
      <w:pPr>
        <w:numPr>
          <w:ilvl w:val="0"/>
          <w:numId w:val="1003"/>
        </w:numPr>
        <w:pStyle w:val="Compact"/>
      </w:pPr>
      <w:r>
        <w:t xml:space="preserve">Pérez Echeverría, M. P., y Bautista, A. (2014). Pensamiento probabilístico. En M. Carretero y M. Asensio (Coords.),</w:t>
      </w:r>
      <w:r>
        <w:t xml:space="preserve"> </w:t>
      </w:r>
      <w:r>
        <w:rPr>
          <w:iCs/>
          <w:i/>
        </w:rPr>
        <w:t xml:space="preserve">Psicología del pensamiento: Teoría y prácticas</w:t>
      </w:r>
      <w:r>
        <w:t xml:space="preserve"> </w:t>
      </w:r>
      <w:r>
        <w:t xml:space="preserve">(cap. 7). Alianza.</w:t>
      </w:r>
    </w:p>
    <w:p>
      <w:r>
        <w:pict>
          <v:rect style="width:0;height:1.5pt" o:hralign="center" o:hrstd="t" o:hr="t"/>
        </w:pict>
      </w:r>
    </w:p>
    <w:bookmarkEnd w:id="33"/>
    <w:bookmarkEnd w:id="34"/>
    <w:bookmarkStart w:id="37" w:name="X9c698d0b3220a9419df264a90c6d375d95b8db0"/>
    <w:p>
      <w:pPr>
        <w:pStyle w:val="Heading2"/>
      </w:pPr>
      <w:r>
        <w:t xml:space="preserve">Expositor/a 4 — Crítica 1: un modelo que todavía no predice (3:00)</w:t>
      </w:r>
    </w:p>
    <w:bookmarkStart w:id="35" w:name="X4a7d766111f316e8062a24f2be765ffb8f4ac70"/>
    <w:p>
      <w:pPr>
        <w:pStyle w:val="Heading3"/>
      </w:pPr>
      <w:r>
        <w:t xml:space="preserve">Diapositiva 11 — Lo que el propio autor reconoce (0:55)</w:t>
      </w:r>
    </w:p>
    <w:p>
      <w:pPr>
        <w:pStyle w:val="FirstParagraph"/>
      </w:pPr>
      <w:r>
        <w:t xml:space="preserve">La cuarta sección,</w:t>
      </w:r>
      <w:r>
        <w:t xml:space="preserve"> </w:t>
      </w:r>
      <w:r>
        <w:t xml:space="preserve">“</w:t>
      </w:r>
      <w:r>
        <w:t xml:space="preserve">Perspectivas</w:t>
      </w:r>
      <w:r>
        <w:t xml:space="preserve">”</w:t>
      </w:r>
      <w:r>
        <w:t xml:space="preserve">, es honesta: el autor llama a su propuesta</w:t>
      </w:r>
      <w:r>
        <w:t xml:space="preserve"> </w:t>
      </w:r>
      <w:r>
        <w:t xml:space="preserve">“</w:t>
      </w:r>
      <w:r>
        <w:t xml:space="preserve">modelo de trabajo</w:t>
      </w:r>
      <w:r>
        <w:t xml:space="preserve">”</w:t>
      </w:r>
      <w:r>
        <w:t xml:space="preserve"> </w:t>
      </w:r>
      <w:r>
        <w:t xml:space="preserve">porque está en construcción. Reconoce que es una</w:t>
      </w:r>
      <w:r>
        <w:t xml:space="preserve"> </w:t>
      </w:r>
      <w:r>
        <w:rPr>
          <w:bCs/>
          <w:b/>
        </w:rPr>
        <w:t xml:space="preserve">descripción verbal</w:t>
      </w:r>
      <w:r>
        <w:t xml:space="preserve">, no un modelo computacional (De Neys, 2023a, pp. 11, 14); que la fórmula de la incertidumbre es</w:t>
      </w:r>
      <w:r>
        <w:t xml:space="preserve"> </w:t>
      </w:r>
      <w:r>
        <w:rPr>
          <w:bCs/>
          <w:b/>
        </w:rPr>
        <w:t xml:space="preserve">probablemente una simplificación</w:t>
      </w:r>
      <w:r>
        <w:t xml:space="preserve"> </w:t>
      </w:r>
      <w:r>
        <w:t xml:space="preserve">(p. 12); que hay</w:t>
      </w:r>
      <w:r>
        <w:t xml:space="preserve"> </w:t>
      </w:r>
      <w:r>
        <w:rPr>
          <w:bCs/>
          <w:b/>
        </w:rPr>
        <w:t xml:space="preserve">poca evidencia directa</w:t>
      </w:r>
      <w:r>
        <w:t xml:space="preserve"> </w:t>
      </w:r>
      <w:r>
        <w:t xml:space="preserve">de la automatización (p. 13); y, desde el principio, que no existe un</w:t>
      </w:r>
      <w:r>
        <w:t xml:space="preserve"> </w:t>
      </w:r>
      <w:r>
        <w:rPr>
          <w:bCs/>
          <w:b/>
        </w:rPr>
        <w:t xml:space="preserve">umbral</w:t>
      </w:r>
      <w:r>
        <w:t xml:space="preserve"> </w:t>
      </w:r>
      <w:r>
        <w:t xml:space="preserve">que separe la intuición de la deliberación, de modo que la exclusividad</w:t>
      </w:r>
      <w:r>
        <w:t xml:space="preserve"> </w:t>
      </w:r>
      <w:r>
        <w:rPr>
          <w:bCs/>
          <w:b/>
        </w:rPr>
        <w:t xml:space="preserve">no se puede refutar del todo</w:t>
      </w:r>
      <w:r>
        <w:t xml:space="preserve"> </w:t>
      </w:r>
      <w:r>
        <w:t xml:space="preserve">(p. 5). Nuestra primera crítica parte de ahí.</w:t>
      </w:r>
    </w:p>
    <w:bookmarkEnd w:id="35"/>
    <w:bookmarkStart w:id="36" w:name="Xe316e951d7329ac9c61aa2e138482137e0bb957"/>
    <w:p>
      <w:pPr>
        <w:pStyle w:val="Heading3"/>
      </w:pPr>
      <w:r>
        <w:t xml:space="preserve">Diapositiva 12 — Crítica 1: ¿umbral o continuo? (2:05)</w:t>
      </w:r>
    </w:p>
    <w:p>
      <w:pPr>
        <w:pStyle w:val="FirstParagraph"/>
      </w:pPr>
      <w:r>
        <w:t xml:space="preserve">Todo el argumento depende de que la primera respuesta sea pura intuición. Pero si no hay un umbral que las separe, ¿cómo sabemos que quien responde en dos segundos no pensó un poco? En la materia vimos que lo implícito y lo explícito forman</w:t>
      </w:r>
      <w:r>
        <w:t xml:space="preserve"> </w:t>
      </w:r>
      <w:r>
        <w:rPr>
          <w:bCs/>
          <w:b/>
        </w:rPr>
        <w:t xml:space="preserve">más un continuo que una dicotomía</w:t>
      </w:r>
      <w:r>
        <w:t xml:space="preserve"> </w:t>
      </w:r>
      <w:r>
        <w:t xml:space="preserve">(Pérez Echeverría y Bautista, 2014, pp. 18-19). Si es así, un modelo que</w:t>
      </w:r>
      <w:r>
        <w:t xml:space="preserve"> </w:t>
      </w:r>
      <w:r>
        <w:rPr>
          <w:bCs/>
          <w:b/>
        </w:rPr>
        <w:t xml:space="preserve">enciende o apaga</w:t>
      </w:r>
      <w:r>
        <w:t xml:space="preserve"> </w:t>
      </w:r>
      <w:r>
        <w:t xml:space="preserve">el sistema 2 al cruzar un umbral traza una frontera que la evidencia no permite trazar. Uno de los comentarios lo llama, directamente,</w:t>
      </w:r>
      <w:r>
        <w:t xml:space="preserve"> </w:t>
      </w:r>
      <w:r>
        <w:t xml:space="preserve">“</w:t>
      </w:r>
      <w:r>
        <w:t xml:space="preserve">el misterioso umbral de deliberación</w:t>
      </w:r>
      <w:r>
        <w:t xml:space="preserve">”</w:t>
      </w:r>
      <w:r>
        <w:t xml:space="preserve"> </w:t>
      </w:r>
      <w:r>
        <w:t xml:space="preserve">(Ackerman y Morsanyi, 2023, p. 19).</w:t>
      </w:r>
    </w:p>
    <w:p>
      <w:pPr>
        <w:pStyle w:val="BodyText"/>
      </w:pPr>
      <w:r>
        <w:t xml:space="preserve">Además, sin valores para la fuerza de las intuiciones ni para el umbral, el modelo explica cualquier resultado después de que ocurre: si alguien acierta, su intuición lógica era fuerte; si se equivoca, era débil. Es la misma crítica que se le hizo a Tversky y Kahneman: no se puede saber</w:t>
      </w:r>
      <w:r>
        <w:t xml:space="preserve"> </w:t>
      </w:r>
      <w:r>
        <w:rPr>
          <w:bCs/>
          <w:b/>
        </w:rPr>
        <w:t xml:space="preserve">a priori</w:t>
      </w:r>
      <w:r>
        <w:t xml:space="preserve"> </w:t>
      </w:r>
      <w:r>
        <w:t xml:space="preserve">qué heurístico va a actuar (Pérez Echeverría y Bautista, 2014, pp. 17-18).</w:t>
      </w:r>
    </w:p>
    <w:p>
      <w:pPr>
        <w:pStyle w:val="BodyText"/>
      </w:pPr>
      <w:r>
        <w:t xml:space="preserve">Y no es imposible ir más allá de lo verbal. Quiroga describe redes neuronales que implementan el razonamiento revisable con nodos que se activan o se inhiben al superar un</w:t>
      </w:r>
      <w:r>
        <w:t xml:space="preserve"> </w:t>
      </w:r>
      <w:r>
        <w:rPr>
          <w:bCs/>
          <w:b/>
        </w:rPr>
        <w:t xml:space="preserve">umbral</w:t>
      </w:r>
      <w:r>
        <w:t xml:space="preserve"> </w:t>
      </w:r>
      <w:r>
        <w:t xml:space="preserve">(Stenning y Van Lambalgen, 2010, como se citó en Quiroga, 2013, pp. 87-89). O sea, ya existen formas de calcular lo que De Neys solo describe. Mientras no lo haga, propone un mecanismo, pero todavía no uno que permita predecir.</w:t>
      </w:r>
    </w:p>
    <w:p>
      <w:pPr>
        <w:pStyle w:val="BodyText"/>
      </w:pPr>
      <w:r>
        <w:rPr>
          <w:bCs/>
          <w:b/>
        </w:rPr>
        <w:t xml:space="preserve">Bibliografía de esta parte</w:t>
      </w:r>
    </w:p>
    <w:p>
      <w:pPr>
        <w:numPr>
          <w:ilvl w:val="0"/>
          <w:numId w:val="1004"/>
        </w:numPr>
        <w:pStyle w:val="Compact"/>
      </w:pPr>
      <w:r>
        <w:t xml:space="preserve">Ackerman, R., y Morsanyi, K. (2023). We know what stops you from thinking forever: A metacognitive perspective.</w:t>
      </w:r>
      <w:r>
        <w:t xml:space="preserve"> </w:t>
      </w:r>
      <w:r>
        <w:rPr>
          <w:iCs/>
          <w:i/>
        </w:rPr>
        <w:t xml:space="preserve">Behavioral and Brain Sciences</w:t>
      </w:r>
      <w:r>
        <w:t xml:space="preserve">,</w:t>
      </w:r>
      <w:r>
        <w:t xml:space="preserve"> </w:t>
      </w:r>
      <w:r>
        <w:rPr>
          <w:iCs/>
          <w:i/>
        </w:rPr>
        <w:t xml:space="preserve">46</w:t>
      </w:r>
      <w:r>
        <w:t xml:space="preserve">, Artículo e112. https://doi.org/10.1017/S0140525X22003065</w:t>
      </w:r>
    </w:p>
    <w:p>
      <w:pPr>
        <w:numPr>
          <w:ilvl w:val="0"/>
          <w:numId w:val="1004"/>
        </w:numPr>
        <w:pStyle w:val="Compac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numPr>
          <w:ilvl w:val="0"/>
          <w:numId w:val="1004"/>
        </w:numPr>
        <w:pStyle w:val="Compact"/>
      </w:pPr>
      <w:r>
        <w:t xml:space="preserve">Pérez Echeverría, M. P., y Bautista, A. (2014). Pensamiento probabilístico. En M. Carretero y M. Asensio (Coords.),</w:t>
      </w:r>
      <w:r>
        <w:t xml:space="preserve"> </w:t>
      </w:r>
      <w:r>
        <w:rPr>
          <w:iCs/>
          <w:i/>
        </w:rPr>
        <w:t xml:space="preserve">Psicología del pensamiento: Teoría y prácticas</w:t>
      </w:r>
      <w:r>
        <w:t xml:space="preserve"> </w:t>
      </w:r>
      <w:r>
        <w:t xml:space="preserve">(cap. 7). Alianza.</w:t>
      </w:r>
    </w:p>
    <w:p>
      <w:pPr>
        <w:numPr>
          <w:ilvl w:val="0"/>
          <w:numId w:val="1004"/>
        </w:numPr>
        <w:pStyle w:val="Compact"/>
      </w:pPr>
      <w:r>
        <w:t xml:space="preserve">Quiroga, L. (2013). Razonamiento y representaciones mentales: Los límites entre lógica y psicología.</w:t>
      </w:r>
      <w:r>
        <w:t xml:space="preserve"> </w:t>
      </w:r>
      <w:r>
        <w:rPr>
          <w:iCs/>
          <w:i/>
        </w:rPr>
        <w:t xml:space="preserve">Praxis. Revista de Psicología</w:t>
      </w:r>
      <w:r>
        <w:t xml:space="preserve">,</w:t>
      </w:r>
      <w:r>
        <w:t xml:space="preserve"> </w:t>
      </w:r>
      <w:r>
        <w:rPr>
          <w:iCs/>
          <w:i/>
        </w:rPr>
        <w:t xml:space="preserve">15</w:t>
      </w:r>
      <w:r>
        <w:t xml:space="preserve">(23), 69-92.</w:t>
      </w:r>
    </w:p>
    <w:p>
      <w:r>
        <w:pict>
          <v:rect style="width:0;height:1.5pt" o:hralign="center" o:hrstd="t" o:hr="t"/>
        </w:pict>
      </w:r>
    </w:p>
    <w:bookmarkEnd w:id="36"/>
    <w:bookmarkEnd w:id="37"/>
    <w:bookmarkStart w:id="41" w:name="X961f4c7400fbc3bc3882e1c22674e0c46f4ce65"/>
    <w:p>
      <w:pPr>
        <w:pStyle w:val="Heading2"/>
      </w:pPr>
      <w:r>
        <w:t xml:space="preserve">Expositor/a 5 — Crítica 2: del laboratorio a la vida real (3:00)</w:t>
      </w:r>
    </w:p>
    <w:bookmarkStart w:id="38" w:name="Xf1c9e9291aa5d94f13d6bd06a621ceed04f3586"/>
    <w:p>
      <w:pPr>
        <w:pStyle w:val="Heading3"/>
      </w:pPr>
      <w:r>
        <w:t xml:space="preserve">Diapositiva 13 — La discusión: 34 comentarios y una respuesta (0:50)</w:t>
      </w:r>
    </w:p>
    <w:p>
      <w:pPr>
        <w:pStyle w:val="FirstParagraph"/>
      </w:pPr>
      <w:r>
        <w:t xml:space="preserve">El artículo no termina en su conclusión. Lo discutieron 34 comentarios de más de 60 especialistas, y De Neys les responde en cinco temas: si la evidencia se generaliza, los vínculos con otros modelos, las extensiones necesarias, aclaraciones puntuales y la utilidad de los modelos duales (De Neys, 2023b, pp. 66-71). Ahí hace dos concesiones importantes. Admite que</w:t>
      </w:r>
      <w:r>
        <w:t xml:space="preserve"> </w:t>
      </w:r>
      <w:r>
        <w:rPr>
          <w:bCs/>
          <w:b/>
        </w:rPr>
        <w:t xml:space="preserve">Evans y Stanovich ya habían abandonado la exclusividad</w:t>
      </w:r>
      <w:r>
        <w:t xml:space="preserve"> </w:t>
      </w:r>
      <w:r>
        <w:t xml:space="preserve">en sus trabajos recientes (p. 67). Y acepta que su modelo</w:t>
      </w:r>
      <w:r>
        <w:t xml:space="preserve"> </w:t>
      </w:r>
      <w:r>
        <w:rPr>
          <w:bCs/>
          <w:b/>
        </w:rPr>
        <w:t xml:space="preserve">no incluye el cambio por señales externas</w:t>
      </w:r>
      <w:r>
        <w:t xml:space="preserve"> </w:t>
      </w:r>
      <w:r>
        <w:t xml:space="preserve">ni las diferencias individuales (p. 68).</w:t>
      </w:r>
    </w:p>
    <w:bookmarkEnd w:id="38"/>
    <w:bookmarkStart w:id="39" w:name="Xc65d74a53268a4ff250b5f7c55b7ea5427f61fe"/>
    <w:p>
      <w:pPr>
        <w:pStyle w:val="Heading3"/>
      </w:pPr>
      <w:r>
        <w:t xml:space="preserve">Diapositiva 14 — Crítica 2: del laboratorio a la vida real (1:25)</w:t>
      </w:r>
    </w:p>
    <w:p>
      <w:pPr>
        <w:pStyle w:val="FirstParagraph"/>
      </w:pPr>
      <w:r>
        <w:t xml:space="preserve">Nuestra segunda crítica parte de otra concesión: el campo trabaja con problemas</w:t>
      </w:r>
      <w:r>
        <w:t xml:space="preserve"> </w:t>
      </w:r>
      <w:r>
        <w:t xml:space="preserve">“</w:t>
      </w:r>
      <w:r>
        <w:t xml:space="preserve">de juguete</w:t>
      </w:r>
      <w:r>
        <w:t xml:space="preserve">”</w:t>
      </w:r>
      <w:r>
        <w:t xml:space="preserve">, y en la vida diaria nadie razona sobre el precio de un bate y una pelota (De Neys, 2023b, p. 68). La investigación en solución de problemas ya recorrió ese camino: usó problemas sin contenido porque daban más control experimental (Postigo Angón, 2014, p. 8), pero fuera del laboratorio la mayoría de los problemas son</w:t>
      </w:r>
      <w:r>
        <w:t xml:space="preserve"> </w:t>
      </w:r>
      <w:r>
        <w:rPr>
          <w:bCs/>
          <w:b/>
        </w:rPr>
        <w:t xml:space="preserve">mal definidos</w:t>
      </w:r>
      <w:r>
        <w:t xml:space="preserve"> </w:t>
      </w:r>
      <w:r>
        <w:t xml:space="preserve">(Pérez Echeverría, 2014, p. 4), y en ellos no hay un criterio claro de que se haya llegado a la solución (Postigo Angón, 2014, p. 24). Sin una respuesta correcta, ¿contra qué se mide la intuición? Evans diría que en la vida real importa la racionalidad</w:t>
      </w:r>
      <w:r>
        <w:t xml:space="preserve"> </w:t>
      </w:r>
      <w:r>
        <w:rPr>
          <w:bCs/>
          <w:b/>
        </w:rPr>
        <w:t xml:space="preserve">de propósito</w:t>
      </w:r>
      <w:r>
        <w:t xml:space="preserve">, alcanzar los propios objetivos, más que la</w:t>
      </w:r>
      <w:r>
        <w:t xml:space="preserve"> </w:t>
      </w:r>
      <w:r>
        <w:rPr>
          <w:bCs/>
          <w:b/>
        </w:rPr>
        <w:t xml:space="preserve">de proceso</w:t>
      </w:r>
      <w:r>
        <w:t xml:space="preserve">, ajustarse a una norma (Valiña y Martín, 2014, p. 21). Y el razonamiento cotidiano es</w:t>
      </w:r>
      <w:r>
        <w:t xml:space="preserve"> </w:t>
      </w:r>
      <w:r>
        <w:rPr>
          <w:bCs/>
          <w:b/>
        </w:rPr>
        <w:t xml:space="preserve">revisable</w:t>
      </w:r>
      <w:r>
        <w:t xml:space="preserve">: sacamos conclusiones por defecto y las retiramos cuando el contexto trae información nueva (Quiroga, 2013, pp. 82-84). Ese cambio, disparado desde afuera, es justo el que el modelo deja de lado.</w:t>
      </w:r>
    </w:p>
    <w:bookmarkEnd w:id="39"/>
    <w:bookmarkStart w:id="40" w:name="diapositiva-15-conclusión-045"/>
    <w:p>
      <w:pPr>
        <w:pStyle w:val="Heading3"/>
      </w:pPr>
      <w:r>
        <w:t xml:space="preserve">Diapositiva 15 — Conclusión (0:45)</w:t>
      </w:r>
    </w:p>
    <w:p>
      <w:pPr>
        <w:pStyle w:val="FirstParagraph"/>
      </w:pPr>
      <w:r>
        <w:t xml:space="preserve">Para cerrar: De Neys concluye que hay que repensar los modelos duales, y que su modelo no exclusivo es un punto de partida que, por lo menos, obliga a explicar cómo cambiamos de sistema (De Neys, 2023a, p. 16). Coincidimos: su aporte es mostrar que la exclusividad y el cambio son un mismo problema. Sus límites son un modelo verbal, una automatización poco probada y tareas artificiales. Con esto terminamos la exposición; ahora queremos abrir el debate.</w:t>
      </w:r>
    </w:p>
    <w:p>
      <w:pPr>
        <w:pStyle w:val="BodyText"/>
      </w:pPr>
      <w:r>
        <w:rPr>
          <w:bCs/>
          <w:b/>
        </w:rPr>
        <w:t xml:space="preserve">Bibliografía de esta parte</w:t>
      </w:r>
    </w:p>
    <w:p>
      <w:pPr>
        <w:numPr>
          <w:ilvl w:val="0"/>
          <w:numId w:val="1005"/>
        </w:numPr>
        <w:pStyle w:val="Compac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numPr>
          <w:ilvl w:val="0"/>
          <w:numId w:val="1005"/>
        </w:numPr>
        <w:pStyle w:val="Compac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pPr>
        <w:numPr>
          <w:ilvl w:val="0"/>
          <w:numId w:val="1005"/>
        </w:numPr>
        <w:pStyle w:val="Compact"/>
      </w:pPr>
      <w:r>
        <w:t xml:space="preserve">Pérez Echeverría, M. P. (2014). Solución de problemas. En M. Carretero y M. Asensio (Coords.),</w:t>
      </w:r>
      <w:r>
        <w:t xml:space="preserve"> </w:t>
      </w:r>
      <w:r>
        <w:rPr>
          <w:iCs/>
          <w:i/>
        </w:rPr>
        <w:t xml:space="preserve">Psicología del pensamiento: Teoría y prácticas</w:t>
      </w:r>
      <w:r>
        <w:t xml:space="preserve"> </w:t>
      </w:r>
      <w:r>
        <w:t xml:space="preserve">(cap. 8). Alianza.</w:t>
      </w:r>
    </w:p>
    <w:p>
      <w:pPr>
        <w:numPr>
          <w:ilvl w:val="0"/>
          <w:numId w:val="1005"/>
        </w:numPr>
        <w:pStyle w:val="Compact"/>
      </w:pPr>
      <w:r>
        <w:t xml:space="preserve">Postigo Angón, Y. (2014). Estrategias en solución de problemas. En M. Carretero y M. Asensio (Coords.),</w:t>
      </w:r>
      <w:r>
        <w:t xml:space="preserve"> </w:t>
      </w:r>
      <w:r>
        <w:rPr>
          <w:iCs/>
          <w:i/>
        </w:rPr>
        <w:t xml:space="preserve">Psicología del pensamiento: Teoría y prácticas</w:t>
      </w:r>
      <w:r>
        <w:t xml:space="preserve"> </w:t>
      </w:r>
      <w:r>
        <w:t xml:space="preserve">(cap. 9). Alianza.</w:t>
      </w:r>
    </w:p>
    <w:p>
      <w:pPr>
        <w:numPr>
          <w:ilvl w:val="0"/>
          <w:numId w:val="1005"/>
        </w:numPr>
        <w:pStyle w:val="Compact"/>
      </w:pPr>
      <w:r>
        <w:t xml:space="preserve">Quiroga, L. (2013). Razonamiento y representaciones mentales: Los límites entre lógica y psicología.</w:t>
      </w:r>
      <w:r>
        <w:t xml:space="preserve"> </w:t>
      </w:r>
      <w:r>
        <w:rPr>
          <w:iCs/>
          <w:i/>
        </w:rPr>
        <w:t xml:space="preserve">Praxis. Revista de Psicología</w:t>
      </w:r>
      <w:r>
        <w:t xml:space="preserve">,</w:t>
      </w:r>
      <w:r>
        <w:t xml:space="preserve"> </w:t>
      </w:r>
      <w:r>
        <w:rPr>
          <w:iCs/>
          <w:i/>
        </w:rPr>
        <w:t xml:space="preserve">15</w:t>
      </w:r>
      <w:r>
        <w:t xml:space="preserve">(23), 69-92.</w:t>
      </w:r>
    </w:p>
    <w:p>
      <w:pPr>
        <w:numPr>
          <w:ilvl w:val="0"/>
          <w:numId w:val="1005"/>
        </w:numPr>
        <w:pStyle w:val="Compact"/>
      </w:pPr>
      <w:r>
        <w:t xml:space="preserve">Valiña, M. D., y Martín, M. (2014). Razonamiento pragmático. En M. Carretero y M. Asensio (Coords.),</w:t>
      </w:r>
      <w:r>
        <w:t xml:space="preserve"> </w:t>
      </w:r>
      <w:r>
        <w:rPr>
          <w:iCs/>
          <w:i/>
        </w:rPr>
        <w:t xml:space="preserve">Psicología del pensamiento: Teoría y prácticas</w:t>
      </w:r>
      <w:r>
        <w:t xml:space="preserve"> </w:t>
      </w:r>
      <w:r>
        <w:t xml:space="preserve">(cap. 6). Alianza.</w:t>
      </w:r>
    </w:p>
    <w:p>
      <w:r>
        <w:pict>
          <v:rect style="width:0;height:1.5pt" o:hralign="center" o:hrstd="t" o:hr="t"/>
        </w:pict>
      </w:r>
    </w:p>
    <w:bookmarkEnd w:id="40"/>
    <w:bookmarkEnd w:id="41"/>
    <w:bookmarkStart w:id="43" w:name="X2494b67884cc7567159761d920df82eb462d39c"/>
    <w:p>
      <w:pPr>
        <w:pStyle w:val="Heading2"/>
      </w:pPr>
      <w:r>
        <w:t xml:space="preserve">Debate — todo el grupo (después de los 15 minutos)</w:t>
      </w:r>
    </w:p>
    <w:bookmarkStart w:id="42" w:name="diapositiva-16-para-debatir"/>
    <w:p>
      <w:pPr>
        <w:pStyle w:val="Heading3"/>
      </w:pPr>
      <w:r>
        <w:t xml:space="preserve">Diapositiva 16 — Para debatir</w:t>
      </w:r>
    </w:p>
    <w:p>
      <w:pPr>
        <w:pStyle w:val="FirstParagraph"/>
      </w:pPr>
      <w:r>
        <w:t xml:space="preserve">Cualquiera del grupo lanza la pregunta:</w:t>
      </w:r>
    </w:p>
    <w:p>
      <w:pPr>
        <w:pStyle w:val="BodyText"/>
      </w:pPr>
      <w:r>
        <w:t xml:space="preserve">Les queremos preguntar:</w:t>
      </w:r>
      <w:r>
        <w:t xml:space="preserve"> </w:t>
      </w:r>
      <w:r>
        <w:rPr>
          <w:bCs/>
          <w:b/>
        </w:rPr>
        <w:t xml:space="preserve">¿les pasó que algo que al principio tenían que pensar con esfuerzo, después les saliera</w:t>
      </w:r>
      <w:r>
        <w:rPr>
          <w:bCs/>
          <w:b/>
        </w:rPr>
        <w:t xml:space="preserve"> </w:t>
      </w:r>
      <w:r>
        <w:rPr>
          <w:bCs/>
          <w:b/>
        </w:rPr>
        <w:t xml:space="preserve">“</w:t>
      </w:r>
      <w:r>
        <w:rPr>
          <w:bCs/>
          <w:b/>
        </w:rPr>
        <w:t xml:space="preserve">solo</w:t>
      </w:r>
      <w:r>
        <w:rPr>
          <w:bCs/>
          <w:b/>
        </w:rPr>
        <w:t xml:space="preserve">”</w:t>
      </w:r>
      <w:r>
        <w:rPr>
          <w:bCs/>
          <w:b/>
        </w:rPr>
        <w:t xml:space="preserve">?</w:t>
      </w:r>
      <w:r>
        <w:t xml:space="preserve"> </w:t>
      </w:r>
      <w:r>
        <w:t xml:space="preserve">Por ejemplo, en estadística. Esa respuesta automática, ¿es una intuición, como dice De Neys, o sigue siendo pensamiento deliberado, pero más rápido?</w:t>
      </w:r>
    </w:p>
    <w:p>
      <w:pPr>
        <w:pStyle w:val="BlockText"/>
      </w:pPr>
      <w:r>
        <w:rPr>
          <w:bCs/>
          <w:b/>
        </w:rPr>
        <w:t xml:space="preserve">Si el docente pide más conclusiones:</w:t>
      </w:r>
      <w:r>
        <w:t xml:space="preserve"> </w:t>
      </w:r>
      <w:r>
        <w:t xml:space="preserve">como líneas futuras proponemos estudios de entrenamiento que sigan cómo una respuesta deliberada se vuelve intuitiva, en la línea de las intuiciones secundarias de Fischbein, y llevar el modelo a problemas mal definidos y a dominios de pericia. El propio autor propone estudios evolutivos y de entrenamiento (De Neys, 2023a, p. 13).</w:t>
      </w:r>
    </w:p>
    <w:bookmarkEnd w:id="42"/>
    <w:bookmarkEnd w:id="43"/>
    <w:bookmarkStart w:id="44" w:name="para-sostener-el-debate"/>
    <w:p>
      <w:pPr>
        <w:pStyle w:val="Heading2"/>
      </w:pPr>
      <w:r>
        <w:t xml:space="preserve">Para sostener el debate</w:t>
      </w:r>
    </w:p>
    <w:p>
      <w:pPr>
        <w:pStyle w:val="FirstParagraph"/>
      </w:pPr>
      <w:r>
        <w:rPr>
          <w:bCs/>
          <w:b/>
        </w:rPr>
        <w:t xml:space="preserve">Preguntas de repuesto</w:t>
      </w:r>
      <w:r>
        <w:t xml:space="preserve">, si la primera no arranca:</w:t>
      </w:r>
    </w:p>
    <w:p>
      <w:pPr>
        <w:numPr>
          <w:ilvl w:val="0"/>
          <w:numId w:val="1006"/>
        </w:numPr>
        <w:pStyle w:val="Compact"/>
      </w:pPr>
      <w:r>
        <w:t xml:space="preserve">Cuando hacen el problema del bate y la pelota por segunda vez, ya saben la respuesta: ¿eso es</w:t>
      </w:r>
      <w:r>
        <w:t xml:space="preserve"> </w:t>
      </w:r>
      <w:r>
        <w:t xml:space="preserve">“</w:t>
      </w:r>
      <w:r>
        <w:t xml:space="preserve">intuición lógica</w:t>
      </w:r>
      <w:r>
        <w:t xml:space="preserve">”</w:t>
      </w:r>
      <w:r>
        <w:t xml:space="preserve"> </w:t>
      </w:r>
      <w:r>
        <w:t xml:space="preserve">o memoria?</w:t>
      </w:r>
    </w:p>
    <w:p>
      <w:pPr>
        <w:numPr>
          <w:ilvl w:val="0"/>
          <w:numId w:val="1006"/>
        </w:numPr>
        <w:pStyle w:val="Compact"/>
      </w:pPr>
      <w:r>
        <w:t xml:space="preserve">¿Confían más en una respuesta que les salió rápido o en una que pensaron mucho? ¿Por qué?</w:t>
      </w:r>
    </w:p>
    <w:p>
      <w:pPr>
        <w:numPr>
          <w:ilvl w:val="0"/>
          <w:numId w:val="1006"/>
        </w:numPr>
        <w:pStyle w:val="Compact"/>
      </w:pPr>
      <w:r>
        <w:t xml:space="preserve">En un dilema moral, ¿la respuesta</w:t>
      </w:r>
      <w:r>
        <w:t xml:space="preserve"> </w:t>
      </w:r>
      <w:r>
        <w:t xml:space="preserve">“</w:t>
      </w:r>
      <w:r>
        <w:t xml:space="preserve">correcta</w:t>
      </w:r>
      <w:r>
        <w:t xml:space="preserve">”</w:t>
      </w:r>
      <w:r>
        <w:t xml:space="preserve"> </w:t>
      </w:r>
      <w:r>
        <w:t xml:space="preserve">se puede medir igual que en un problema de matemática?</w:t>
      </w:r>
    </w:p>
    <w:p>
      <w:pPr>
        <w:pStyle w:val="FirstParagraph"/>
      </w:pPr>
      <w:r>
        <w:rPr>
          <w:bCs/>
          <w:b/>
        </w:rPr>
        <w:t xml:space="preserve">Preguntas que puede hacer el docente</w:t>
      </w:r>
      <w:r>
        <w:t xml:space="preserve"> </w:t>
      </w:r>
      <w:r>
        <w:t xml:space="preserve">y cómo responderlas: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Pregunta</w:t>
            </w:r>
          </w:p>
        </w:tc>
        <w:tc>
          <w:tcPr/>
          <w:p>
            <w:pPr>
              <w:pStyle w:val="Compact"/>
              <w:jc w:val="left"/>
            </w:pPr>
            <w:r>
              <w:t xml:space="preserve">Respuesta breve</w:t>
            </w:r>
          </w:p>
        </w:tc>
      </w:tr>
      <w:tr>
        <w:tc>
          <w:tcPr/>
          <w:p>
            <w:pPr>
              <w:pStyle w:val="Compact"/>
              <w:jc w:val="left"/>
            </w:pPr>
            <w:r>
              <w:t xml:space="preserve">¿Es un artículo empírico?</w:t>
            </w:r>
          </w:p>
        </w:tc>
        <w:tc>
          <w:tcPr/>
          <w:p>
            <w:pPr>
              <w:pStyle w:val="Compact"/>
              <w:jc w:val="left"/>
            </w:pPr>
            <w:r>
              <w:t xml:space="preserve">No: es una revisión teórica publicada con 34 comentarios y la respuesta del autor. No tiene participantes propios; presentamos el paradigma experimental en que se apoya (diapositiva 4).</w:t>
            </w:r>
          </w:p>
        </w:tc>
      </w:tr>
      <w:tr>
        <w:tc>
          <w:tcPr/>
          <w:p>
            <w:pPr>
              <w:pStyle w:val="Compact"/>
              <w:jc w:val="left"/>
            </w:pPr>
            <w:r>
              <w:t xml:space="preserve">¿Cuál es la hipótesis?</w:t>
            </w:r>
          </w:p>
        </w:tc>
        <w:tc>
          <w:tcPr/>
          <w:p>
            <w:pPr>
              <w:pStyle w:val="Compact"/>
              <w:jc w:val="left"/>
            </w:pPr>
            <w:r>
              <w:t xml:space="preserve">Que la exclusividad y el mecanismo de cambio están ligados: si se sostiene la exclusividad, no puede haber un mecanismo de cambio interno coherente (De Neys, 2023a, pp. 1-2, 7).</w:t>
            </w:r>
          </w:p>
        </w:tc>
      </w:tr>
      <w:tr>
        <w:tc>
          <w:tcPr/>
          <w:p>
            <w:pPr>
              <w:pStyle w:val="Compact"/>
              <w:jc w:val="left"/>
            </w:pPr>
            <w:r>
              <w:t xml:space="preserve">¿Cuáles son los objetivos específicos?</w:t>
            </w:r>
          </w:p>
        </w:tc>
        <w:tc>
          <w:tcPr/>
          <w:p>
            <w:pPr>
              <w:pStyle w:val="Compact"/>
              <w:jc w:val="left"/>
            </w:pPr>
            <w:r>
              <w:t xml:space="preserve">Los de sus cuatro secciones: revisar la evidencia sobre la exclusividad, analizar las explicaciones del cambio, proponer un modelo y plantear preguntas pendientes (De Neys, 2023a, p. 2).</w:t>
            </w:r>
          </w:p>
        </w:tc>
      </w:tr>
      <w:tr>
        <w:tc>
          <w:tcPr/>
          <w:p>
            <w:pPr>
              <w:pStyle w:val="Compact"/>
              <w:jc w:val="left"/>
            </w:pPr>
            <w:r>
              <w:t xml:space="preserve">¿Por qué la exclusividad impide explicar el cambio?</w:t>
            </w:r>
          </w:p>
        </w:tc>
        <w:tc>
          <w:tcPr/>
          <w:p>
            <w:pPr>
              <w:pStyle w:val="Compact"/>
              <w:jc w:val="left"/>
            </w:pPr>
            <w:r>
              <w:t xml:space="preserve">Si el sistema 1 no</w:t>
            </w:r>
            <w:r>
              <w:t xml:space="preserve"> </w:t>
            </w:r>
            <w:r>
              <w:t xml:space="preserve">“</w:t>
            </w:r>
            <w:r>
              <w:t xml:space="preserve">tiene</w:t>
            </w:r>
            <w:r>
              <w:t xml:space="preserve">”</w:t>
            </w:r>
            <w:r>
              <w:t xml:space="preserve"> </w:t>
            </w:r>
            <w:r>
              <w:t xml:space="preserve">la respuesta correcta, no puede detectar que la suya está mal; y si el sistema 2 lo vigila, ya tendría que estar activo (De Neys, 2023a, pp. 6-7).</w:t>
            </w:r>
          </w:p>
        </w:tc>
      </w:tr>
      <w:tr>
        <w:tc>
          <w:tcPr/>
          <w:p>
            <w:pPr>
              <w:pStyle w:val="Compact"/>
              <w:jc w:val="left"/>
            </w:pPr>
            <w:r>
              <w:t xml:space="preserve">¿Niega que exista la exclusividad?</w:t>
            </w:r>
          </w:p>
        </w:tc>
        <w:tc>
          <w:tcPr/>
          <w:p>
            <w:pPr>
              <w:pStyle w:val="Compact"/>
              <w:jc w:val="left"/>
            </w:pPr>
            <w:r>
              <w:t xml:space="preserve">No: dice que puede darse en dominios nuevos, donde la respuesta todavía no se automatizó, pero que entonces no hay cambio interno posible (De Neys, 2023b, pp. 67, 69).</w:t>
            </w:r>
          </w:p>
        </w:tc>
      </w:tr>
      <w:tr>
        <w:tc>
          <w:tcPr/>
          <w:p>
            <w:pPr>
              <w:pStyle w:val="Compact"/>
              <w:jc w:val="left"/>
            </w:pPr>
            <w:r>
              <w:t xml:space="preserve">¿En qué se parece a Evans?</w:t>
            </w:r>
          </w:p>
        </w:tc>
        <w:tc>
          <w:tcPr/>
          <w:p>
            <w:pPr>
              <w:pStyle w:val="Compact"/>
              <w:jc w:val="left"/>
            </w:pPr>
            <w:r>
              <w:t xml:space="preserve">Estadio heurístico ≈ sistema 1, estadio analítico ≈ sistema 2; en Evans los sesgos son heurísticos y la competencia es analítica: eso es la exclusividad (Valiña y Martín, 2014, p. 22).</w:t>
            </w:r>
          </w:p>
        </w:tc>
      </w:tr>
      <w:tr>
        <w:tc>
          <w:tcPr/>
          <w:p>
            <w:pPr>
              <w:pStyle w:val="Compact"/>
              <w:jc w:val="left"/>
            </w:pPr>
            <w:r>
              <w:t xml:space="preserve">¿Qué es una intuición secundaria?</w:t>
            </w:r>
          </w:p>
        </w:tc>
        <w:tc>
          <w:tcPr/>
          <w:p>
            <w:pPr>
              <w:pStyle w:val="Compact"/>
              <w:jc w:val="left"/>
            </w:pPr>
            <w:r>
              <w:t xml:space="preserve">La que se logra por instrucción y esfuerzo deliberado (Fischbein), frente a la primaria, que surge de la experiencia (Pérez Echeverría y Bautista, 2014, p. 7).</w:t>
            </w:r>
          </w:p>
        </w:tc>
      </w:tr>
      <w:tr>
        <w:tc>
          <w:tcPr/>
          <w:p>
            <w:pPr>
              <w:pStyle w:val="Compact"/>
              <w:jc w:val="left"/>
            </w:pPr>
            <w:r>
              <w:t xml:space="preserve">¿Por qué el modelo</w:t>
            </w:r>
            <w:r>
              <w:t xml:space="preserve"> </w:t>
            </w:r>
            <w:r>
              <w:t xml:space="preserve">“</w:t>
            </w:r>
            <w:r>
              <w:t xml:space="preserve">explica todo</w:t>
            </w:r>
            <w:r>
              <w:t xml:space="preserve">”</w:t>
            </w:r>
            <w:r>
              <w:t xml:space="preserve">?</w:t>
            </w:r>
          </w:p>
        </w:tc>
        <w:tc>
          <w:tcPr/>
          <w:p>
            <w:pPr>
              <w:pStyle w:val="Compact"/>
              <w:jc w:val="left"/>
            </w:pPr>
            <w:r>
              <w:t xml:space="preserve">Porque sin valores para la fuerza de las intuiciones ni para el umbral, cualquier resultado se puede atribuir después a una intuición fuerte o débil.</w:t>
            </w:r>
          </w:p>
        </w:tc>
      </w:tr>
    </w:tbl>
    <w:bookmarkEnd w:id="44"/>
    <w:bookmarkStart w:id="45" w:name="uso-de-la-bibliografía-de-pensamiento"/>
    <w:p>
      <w:pPr>
        <w:pStyle w:val="Heading2"/>
      </w:pPr>
      <w:r>
        <w:t xml:space="preserve">Uso de la bibliografía de Pensamiento</w:t>
      </w:r>
    </w:p>
    <w:p>
      <w:pPr>
        <w:pStyle w:val="FirstParagraph"/>
      </w:pPr>
      <w:r>
        <w:t xml:space="preserve">Cada texto de la unidad aparece al menos una vez:</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Texto</w:t>
            </w:r>
          </w:p>
        </w:tc>
        <w:tc>
          <w:tcPr/>
          <w:p>
            <w:pPr>
              <w:pStyle w:val="Compact"/>
              <w:jc w:val="left"/>
            </w:pPr>
            <w:r>
              <w:t xml:space="preserve">Expositor/a</w:t>
            </w:r>
          </w:p>
        </w:tc>
        <w:tc>
          <w:tcPr/>
          <w:p>
            <w:pPr>
              <w:pStyle w:val="Compact"/>
              <w:jc w:val="left"/>
            </w:pPr>
            <w:r>
              <w:t xml:space="preserve">Para qué</w:t>
            </w:r>
          </w:p>
        </w:tc>
      </w:tr>
      <w:tr>
        <w:tc>
          <w:tcPr/>
          <w:p>
            <w:pPr>
              <w:pStyle w:val="Compact"/>
              <w:jc w:val="left"/>
            </w:pPr>
            <w:r>
              <w:t xml:space="preserve">González Labra (s. f.)</w:t>
            </w:r>
          </w:p>
        </w:tc>
        <w:tc>
          <w:tcPr/>
          <w:p>
            <w:pPr>
              <w:pStyle w:val="Compact"/>
              <w:jc w:val="left"/>
            </w:pPr>
            <w:r>
              <w:t xml:space="preserve">2 y 3</w:t>
            </w:r>
          </w:p>
        </w:tc>
        <w:tc>
          <w:tcPr/>
          <w:p>
            <w:pPr>
              <w:pStyle w:val="Compact"/>
              <w:jc w:val="left"/>
            </w:pPr>
            <w:r>
              <w:t xml:space="preserve">El mecanismo de control de las inferencias; Wurzburgo y el pensamiento inconsciente</w:t>
            </w:r>
          </w:p>
        </w:tc>
      </w:tr>
      <w:tr>
        <w:tc>
          <w:tcPr/>
          <w:p>
            <w:pPr>
              <w:pStyle w:val="Compact"/>
              <w:jc w:val="left"/>
            </w:pPr>
            <w:r>
              <w:t xml:space="preserve">Quiroga (2013)</w:t>
            </w:r>
          </w:p>
        </w:tc>
        <w:tc>
          <w:tcPr/>
          <w:p>
            <w:pPr>
              <w:pStyle w:val="Compact"/>
              <w:jc w:val="left"/>
            </w:pPr>
            <w:r>
              <w:t xml:space="preserve">4 y 5</w:t>
            </w:r>
          </w:p>
        </w:tc>
        <w:tc>
          <w:tcPr/>
          <w:p>
            <w:pPr>
              <w:pStyle w:val="Compact"/>
              <w:jc w:val="left"/>
            </w:pPr>
            <w:r>
              <w:t xml:space="preserve">Redes neuronales con umbral; el razonamiento revisable (lógica</w:t>
            </w:r>
            <w:r>
              <w:t xml:space="preserve"> </w:t>
            </w:r>
            <w:r>
              <w:rPr>
                <w:iCs/>
                <w:i/>
              </w:rPr>
              <w:t xml:space="preserve">default</w:t>
            </w:r>
            <w:r>
              <w:t xml:space="preserve">)</w:t>
            </w:r>
          </w:p>
        </w:tc>
      </w:tr>
      <w:tr>
        <w:tc>
          <w:tcPr/>
          <w:p>
            <w:pPr>
              <w:pStyle w:val="Compact"/>
              <w:jc w:val="left"/>
            </w:pPr>
            <w:r>
              <w:t xml:space="preserve">Valiña y Martín (2014), cap. 6</w:t>
            </w:r>
          </w:p>
        </w:tc>
        <w:tc>
          <w:tcPr/>
          <w:p>
            <w:pPr>
              <w:pStyle w:val="Compact"/>
              <w:jc w:val="left"/>
            </w:pPr>
            <w:r>
              <w:t xml:space="preserve">2 y 5</w:t>
            </w:r>
          </w:p>
        </w:tc>
        <w:tc>
          <w:tcPr/>
          <w:p>
            <w:pPr>
              <w:pStyle w:val="Compact"/>
              <w:jc w:val="left"/>
            </w:pPr>
            <w:r>
              <w:t xml:space="preserve">La teoría heurístico-analítica de Evans; racionalidad de propósito y de proceso</w:t>
            </w:r>
          </w:p>
        </w:tc>
      </w:tr>
      <w:tr>
        <w:tc>
          <w:tcPr/>
          <w:p>
            <w:pPr>
              <w:pStyle w:val="Compact"/>
              <w:jc w:val="left"/>
            </w:pPr>
            <w:r>
              <w:t xml:space="preserve">Pérez Echeverría y Bautista (2014), cap. 7</w:t>
            </w:r>
          </w:p>
        </w:tc>
        <w:tc>
          <w:tcPr/>
          <w:p>
            <w:pPr>
              <w:pStyle w:val="Compact"/>
              <w:jc w:val="left"/>
            </w:pPr>
            <w:r>
              <w:t xml:space="preserve">3 y 4</w:t>
            </w:r>
          </w:p>
        </w:tc>
        <w:tc>
          <w:tcPr/>
          <w:p>
            <w:pPr>
              <w:pStyle w:val="Compact"/>
              <w:jc w:val="left"/>
            </w:pPr>
            <w:r>
              <w:t xml:space="preserve">Intuiciones primarias y secundarias, convergencia de métodos; el continuo implícito-explícito y las críticas a Tversky y Kahneman</w:t>
            </w:r>
          </w:p>
        </w:tc>
      </w:tr>
      <w:tr>
        <w:tc>
          <w:tcPr/>
          <w:p>
            <w:pPr>
              <w:pStyle w:val="Compact"/>
              <w:jc w:val="left"/>
            </w:pPr>
            <w:r>
              <w:t xml:space="preserve">Pérez Echeverría (2014), cap. 8</w:t>
            </w:r>
          </w:p>
        </w:tc>
        <w:tc>
          <w:tcPr/>
          <w:p>
            <w:pPr>
              <w:pStyle w:val="Compact"/>
              <w:jc w:val="left"/>
            </w:pPr>
            <w:r>
              <w:t xml:space="preserve">3 y 5</w:t>
            </w:r>
          </w:p>
        </w:tc>
        <w:tc>
          <w:tcPr/>
          <w:p>
            <w:pPr>
              <w:pStyle w:val="Compact"/>
              <w:jc w:val="left"/>
            </w:pPr>
            <w:r>
              <w:t xml:space="preserve">Anderson, problema y ejercicio, Schoenfeld; problemas mal definidos</w:t>
            </w:r>
          </w:p>
        </w:tc>
      </w:tr>
      <w:tr>
        <w:tc>
          <w:tcPr/>
          <w:p>
            <w:pPr>
              <w:pStyle w:val="Compact"/>
              <w:jc w:val="left"/>
            </w:pPr>
            <w:r>
              <w:t xml:space="preserve">Postigo Angón (2014), cap. 9</w:t>
            </w:r>
          </w:p>
        </w:tc>
        <w:tc>
          <w:tcPr/>
          <w:p>
            <w:pPr>
              <w:pStyle w:val="Compact"/>
              <w:jc w:val="left"/>
            </w:pPr>
            <w:r>
              <w:t xml:space="preserve">5</w:t>
            </w:r>
          </w:p>
        </w:tc>
        <w:tc>
          <w:tcPr/>
          <w:p>
            <w:pPr>
              <w:pStyle w:val="Compact"/>
              <w:jc w:val="left"/>
            </w:pPr>
            <w:r>
              <w:t xml:space="preserve">Problemas sin contenido y sin criterio de solución</w:t>
            </w:r>
          </w:p>
        </w:tc>
      </w:tr>
    </w:tbl>
    <w:bookmarkEnd w:id="45"/>
    <w:bookmarkStart w:id="46" w:name="referencias"/>
    <w:p>
      <w:pPr>
        <w:pStyle w:val="Heading2"/>
      </w:pPr>
      <w:r>
        <w:t xml:space="preserve">Referencias</w:t>
      </w:r>
    </w:p>
    <w:p>
      <w:pPr>
        <w:pStyle w:val="FirstParagraph"/>
      </w:pPr>
      <w:r>
        <w:t xml:space="preserve">Ackerman, R., y Morsanyi, K. (2023). We know what stops you from thinking forever: A metacognitive perspective.</w:t>
      </w:r>
      <w:r>
        <w:t xml:space="preserve"> </w:t>
      </w:r>
      <w:r>
        <w:rPr>
          <w:iCs/>
          <w:i/>
        </w:rPr>
        <w:t xml:space="preserve">Behavioral and Brain Sciences</w:t>
      </w:r>
      <w:r>
        <w:t xml:space="preserve">,</w:t>
      </w:r>
      <w:r>
        <w:t xml:space="preserve"> </w:t>
      </w:r>
      <w:r>
        <w:rPr>
          <w:iCs/>
          <w:i/>
        </w:rPr>
        <w:t xml:space="preserve">46</w:t>
      </w:r>
      <w:r>
        <w:t xml:space="preserve">, Artículo e112. https://doi.org/10.1017/S0140525X22003065</w:t>
      </w:r>
    </w:p>
    <w:p>
      <w:pPr>
        <w:pStyle w:val="BodyText"/>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pStyle w:val="BodyTex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pPr>
        <w:pStyle w:val="BodyText"/>
      </w:pPr>
      <w:r>
        <w:t xml:space="preserve">González Labra, M. J. (s. f.). Psicología del pensamiento: Esbozo histórico. En</w:t>
      </w:r>
      <w:r>
        <w:t xml:space="preserve"> </w:t>
      </w:r>
      <w:r>
        <w:rPr>
          <w:iCs/>
          <w:i/>
        </w:rPr>
        <w:t xml:space="preserve">Psicología del pensamiento</w:t>
      </w:r>
      <w:r>
        <w:t xml:space="preserve"> </w:t>
      </w:r>
      <w:r>
        <w:t xml:space="preserve">(cap. 1, pp. 1-22). UNED.</w:t>
      </w:r>
    </w:p>
    <w:p>
      <w:pPr>
        <w:pStyle w:val="BodyText"/>
      </w:pPr>
      <w:r>
        <w:t xml:space="preserve">Pérez Echeverría, M. P. (2014). Solución de problemas. En M. Carretero y M. Asensio (Coords.),</w:t>
      </w:r>
      <w:r>
        <w:t xml:space="preserve"> </w:t>
      </w:r>
      <w:r>
        <w:rPr>
          <w:iCs/>
          <w:i/>
        </w:rPr>
        <w:t xml:space="preserve">Psicología del pensamiento: Teoría y prácticas</w:t>
      </w:r>
      <w:r>
        <w:t xml:space="preserve"> </w:t>
      </w:r>
      <w:r>
        <w:t xml:space="preserve">(cap. 8). Alianza.</w:t>
      </w:r>
    </w:p>
    <w:p>
      <w:pPr>
        <w:pStyle w:val="BodyText"/>
      </w:pPr>
      <w:r>
        <w:t xml:space="preserve">Pérez Echeverría, M. P., y Bautista, A. (2014). Pensamiento probabilístico. En M. Carretero y M. Asensio (Coords.),</w:t>
      </w:r>
      <w:r>
        <w:t xml:space="preserve"> </w:t>
      </w:r>
      <w:r>
        <w:rPr>
          <w:iCs/>
          <w:i/>
        </w:rPr>
        <w:t xml:space="preserve">Psicología del pensamiento: Teoría y prácticas</w:t>
      </w:r>
      <w:r>
        <w:t xml:space="preserve"> </w:t>
      </w:r>
      <w:r>
        <w:t xml:space="preserve">(cap. 7). Alianza.</w:t>
      </w:r>
    </w:p>
    <w:p>
      <w:pPr>
        <w:pStyle w:val="BodyText"/>
      </w:pPr>
      <w:r>
        <w:t xml:space="preserve">Postigo Angón, Y. (2014). Estrategias en solución de problemas. En M. Carretero y M. Asensio (Coords.),</w:t>
      </w:r>
      <w:r>
        <w:t xml:space="preserve"> </w:t>
      </w:r>
      <w:r>
        <w:rPr>
          <w:iCs/>
          <w:i/>
        </w:rPr>
        <w:t xml:space="preserve">Psicología del pensamiento: Teoría y prácticas</w:t>
      </w:r>
      <w:r>
        <w:t xml:space="preserve"> </w:t>
      </w:r>
      <w:r>
        <w:t xml:space="preserve">(cap. 9). Alianza.</w:t>
      </w:r>
    </w:p>
    <w:p>
      <w:pPr>
        <w:pStyle w:val="BodyText"/>
      </w:pPr>
      <w:r>
        <w:t xml:space="preserve">Quiroga, L. (2013). Razonamiento y representaciones mentales: Los límites entre lógica y psicología.</w:t>
      </w:r>
      <w:r>
        <w:t xml:space="preserve"> </w:t>
      </w:r>
      <w:r>
        <w:rPr>
          <w:iCs/>
          <w:i/>
        </w:rPr>
        <w:t xml:space="preserve">Praxis. Revista de Psicología</w:t>
      </w:r>
      <w:r>
        <w:t xml:space="preserve">,</w:t>
      </w:r>
      <w:r>
        <w:t xml:space="preserve"> </w:t>
      </w:r>
      <w:r>
        <w:rPr>
          <w:iCs/>
          <w:i/>
        </w:rPr>
        <w:t xml:space="preserve">15</w:t>
      </w:r>
      <w:r>
        <w:t xml:space="preserve">(23), 69-92.</w:t>
      </w:r>
    </w:p>
    <w:p>
      <w:pPr>
        <w:pStyle w:val="BodyText"/>
      </w:pPr>
      <w:r>
        <w:t xml:space="preserve">Valiña, M. D., y Martín, M. (2014). Razonamiento pragmático. En M. Carretero y M. Asensio (Coords.),</w:t>
      </w:r>
      <w:r>
        <w:t xml:space="preserve"> </w:t>
      </w:r>
      <w:r>
        <w:rPr>
          <w:iCs/>
          <w:i/>
        </w:rPr>
        <w:t xml:space="preserve">Psicología del pensamiento: Teoría y prácticas</w:t>
      </w:r>
      <w:r>
        <w:t xml:space="preserve"> </w:t>
      </w:r>
      <w:r>
        <w:t xml:space="preserve">(cap. 6). Alianza.</w:t>
      </w:r>
    </w:p>
    <w:bookmarkEnd w:id="46"/>
    <w:bookmarkEnd w:id="47"/>
    <w:sectPr>
      <w:headerReference r:id="rId9" w:type="default"/>
      <w:footerReference r:id="rId10"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TITULO_GUIA</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2026-10-27T13:52:26Z</dcterms:created>
  <dcterms:modified xsi:type="dcterms:W3CDTF">2026-10-27T13:52:26Z</dcterms:modified>
</cp:coreProperties>
</file>

<file path=docProps/custom.xml><?xml version="1.0" encoding="utf-8"?>
<Properties xmlns="http://schemas.openxmlformats.org/officeDocument/2006/custom-properties" xmlns:vt="http://schemas.openxmlformats.org/officeDocument/2006/docPropsVTypes"/>
</file>