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17-memoria-ficha-de-repaso"/>
    <w:p>
      <w:pPr>
        <w:pStyle w:val="Heading1"/>
      </w:pPr>
      <w:r>
        <w:t xml:space="preserve">C17 — Memoria · Ficha de repaso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 memoria no es una capacidad única sino un sistema de procesos y «almacenes» que se estudia desde el</w:t>
      </w:r>
      <w: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t xml:space="preserve">(codificar, almacenar, recuperar) y el</w:t>
      </w:r>
      <w:r>
        <w:t xml:space="preserve"> </w:t>
      </w:r>
      <w:r>
        <w:rPr>
          <w:b/>
          <w:bCs/>
        </w:rPr>
        <w:t xml:space="preserve">hardware</w:t>
      </w:r>
      <w:r>
        <w:t xml:space="preserve"> </w:t>
      </w:r>
      <w:r>
        <w:t xml:space="preserve">(estructuras cerebrales). Con la edad</w:t>
      </w:r>
      <w:r>
        <w:t xml:space="preserve"> </w:t>
      </w:r>
      <w:r>
        <w:rPr>
          <w:b/>
          <w:bCs/>
        </w:rPr>
        <w:t xml:space="preserve">no todo declina</w:t>
      </w:r>
      <w:r>
        <w:t xml:space="preserve">: se conservan la memoria sensorial, la motora, el condicionamiento y la semántica; lo que más sufre es la</w:t>
      </w:r>
      <w:r>
        <w:t xml:space="preserve"> </w:t>
      </w:r>
      <w:r>
        <w:rPr>
          <w:b/>
          <w:bCs/>
        </w:rPr>
        <w:t xml:space="preserve">episódica</w:t>
      </w:r>
      <w:r>
        <w:t xml:space="preserve"> </w:t>
      </w:r>
      <w:r>
        <w:t xml:space="preserve">y las tareas que exigen esfuerzo, organización y elaboración. Y el olvido también es una función adaptativa (Papalia et al., 2009b, pp. 154-155, 168-169, 188-189).</w:t>
      </w:r>
    </w:p>
    <w:p>
      <w:pPr>
        <w:pStyle w:val="BodyText"/>
      </w:pPr>
      <w:r>
        <w:drawing>
          <wp:inline>
            <wp:extent cx="5759999" cy="4657959"/>
            <wp:effectExtent b="0" l="0" r="0" t="0"/>
            <wp:docPr descr="Diagrama de la guía" title="" id="10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sicología%20Evolutiva/3_Guias_de_Estudio/_media/C17_Memoria_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657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esqueletos-de-respuesta"/>
    <w:p>
      <w:pPr>
        <w:pStyle w:val="Heading2"/>
      </w:pPr>
      <w:r>
        <w:t xml:space="preserve">Esqueletos de respuesta</w:t>
      </w:r>
    </w:p>
    <w:p>
      <w:pPr>
        <w:pStyle w:val="FirstParagraph"/>
      </w:pPr>
      <w:r>
        <w:rPr>
          <w:b/>
          <w:bCs/>
        </w:rPr>
        <w:t xml:space="preserve">P1. Software y hardware.</w:t>
      </w:r>
      <w:r>
        <w:t xml:space="preserve"> </w:t>
      </w:r>
      <w:r>
        <w:t xml:space="preserve">1) Tesis: dos perspectivas complementarias. 2) Software: codificar, almacenar, recuperar, con tres almacenes (pp. 155-156). 3) Hardware: estructuras y conexiones cerebrales (p. 155). 4) Se complementan (p. 174). 5) Ejemplo: Olivier (pp. 153-154). 6) Cierre: pérdidas y ganancias, no deterioro general.</w:t>
      </w:r>
    </w:p>
    <w:p>
      <w:pPr>
        <w:pStyle w:val="BodyText"/>
      </w:pPr>
      <w:r>
        <w:rPr>
          <w:b/>
          <w:bCs/>
        </w:rPr>
        <w:t xml:space="preserve">P2. Los tres almacenes.</w:t>
      </w:r>
      <w:r>
        <w:t xml:space="preserve"> </w:t>
      </w:r>
      <w:r>
        <w:t xml:space="preserve">1) Sensorial: segundos, casi sin cambios (p. 159). 2) Operativa: 5-9 elementos, ~30 s, ejecutivo central de Baddeley; cae si hay que manipular, organizar o elaborar (pp. 159-161). 3) Largo plazo: capacidad casi ilimitada; declarativa (episódica, semántica) y no declarativa (p. 162). 4) Cae la episódica; se conservan la semántica y la no declarativa (pp. 163-168). 5) Cierre: atención y motivación explican parte del declive.</w:t>
      </w:r>
    </w:p>
    <w:p>
      <w:pPr>
        <w:pStyle w:val="BodyText"/>
      </w:pPr>
      <w:r>
        <w:rPr>
          <w:b/>
          <w:bCs/>
        </w:rPr>
        <w:t xml:space="preserve">P3. Hardware.</w:t>
      </w:r>
      <w:r>
        <w:t xml:space="preserve"> </w:t>
      </w:r>
      <w:r>
        <w:t xml:space="preserve">Hipocampo (codifica y recupera lo declarativo, de modo temporal; pierde ~20 % de células); lóbulos frontales (estrategias, episódica y operativa); implícita: neoestriado, cerebelo, amígdala, corteza posterior (pp. 169-174). Por eso se resiente lo declarativo y se conserva lo implícito.</w:t>
      </w:r>
    </w:p>
    <w:p>
      <w:pPr>
        <w:pStyle w:val="BodyText"/>
      </w:pPr>
      <w:r>
        <w:rPr>
          <w:b/>
          <w:bCs/>
        </w:rPr>
        <w:t xml:space="preserve">P4. Intrusión y memoria prospectiva.</w:t>
      </w:r>
      <w:r>
        <w:t xml:space="preserve"> </w:t>
      </w:r>
      <w:r>
        <w:t xml:space="preserve">Intrusión: recordar lo que no ocurrió; más en mayores, por conocimiento acumulado y distracción (p. 176). Prospectiva: recordar hacer algo; depende de la tarea, el significado y los auxiliares externos (p. 178). Con notas y rutinas rinden igual o mejor.</w:t>
      </w:r>
    </w:p>
    <w:p>
      <w:pPr>
        <w:pStyle w:val="BodyText"/>
      </w:pPr>
      <w:r>
        <w:rPr>
          <w:b/>
          <w:bCs/>
        </w:rPr>
        <w:t xml:space="preserve">P5. Modelo E-I-E-I-O</w:t>
      </w:r>
      <w:r>
        <w:t xml:space="preserve"> </w:t>
      </w:r>
      <w:r>
        <w:t xml:space="preserve">(Camp et al., 1993). Dos ejes: recuerdo explícito/implícito × información inicial externa/interna; «O» = darse cuenta de que ya está interna. Cuatro cuadrantes con ejemplo propio; combinar estrategias; lo implícito sirve en deterioro (pp. 183-186).</w:t>
      </w:r>
    </w:p>
    <w:p>
      <w:pPr>
        <w:pStyle w:val="BodyText"/>
      </w:pPr>
      <w:r>
        <w:rPr>
          <w:b/>
          <w:bCs/>
        </w:rPr>
        <w:t xml:space="preserve">P6. Olvido.</w:t>
      </w:r>
      <w:r>
        <w:t xml:space="preserve"> </w:t>
      </w:r>
      <w:r>
        <w:t xml:space="preserve">No es solo falla: la memoria es una síntesis de recuerdo y olvido en equilibrio (Camp y McKitrick, 1989); ejemplos de Funes (Borges), «S.» de Luria y William James; los mayores olvidan selectivamente (pp. 186-189).</w:t>
      </w:r>
    </w:p>
    <w:bookmarkEnd w:id="12"/>
    <w:bookmarkStart w:id="13" w:name="no-confundir"/>
    <w:p>
      <w:pPr>
        <w:pStyle w:val="Heading2"/>
      </w:pPr>
      <w:r>
        <w:t xml:space="preserve">No confundir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intangibles / estructuras físicas (p. 155)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Recuerdo (recall)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Producir la respuesta (peor en mayores) / elegirla entre opciones (casi igual) (p. 158)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Memoria sensorial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Fracciones de segundo / ~30 s activa y limitada (pp. 159-161)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Largo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Almacén activo y limitado / casi ilimitado e «inactivo» (pp. 159-162)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Episódica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Semántica / procedural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«Yo recuerdo» (se debilita) / «yo sé» (se conserva) / saber hacer (pp. 163-164)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Hipocampo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Lóbulos frontales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Codifica y recupera lo declarativo / supervisa y da estrategia (p. 173)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Retrospectiva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Recordar hacer algo / recordar lo que pasó (p. 178)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Intrusión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Recordar lo que no pasó / no recordar lo que sí pasó (p. 176)</w:t>
            </w:r>
          </w:p>
        </w:tc>
      </w:tr>
    </w:tbl>
    <w:bookmarkEnd w:id="13"/>
    <w:bookmarkStart w:id="14" w:name="datos-que-conviene-saber"/>
    <w:p>
      <w:pPr>
        <w:pStyle w:val="Heading2"/>
      </w:pPr>
      <w:r>
        <w:t xml:space="preserve">Datos que conviene saber</w:t>
      </w:r>
    </w:p>
    <w:p>
      <w:pPr>
        <w:pStyle w:val="Compact"/>
        <w:numPr>
          <w:ilvl w:val="0"/>
          <w:numId w:val="1001"/>
        </w:numPr>
      </w:pPr>
      <w:r>
        <w:t xml:space="preserve">Memoria operativa:</w:t>
      </w:r>
      <w:r>
        <w:t xml:space="preserve"> </w:t>
      </w:r>
      <w:r>
        <w:rPr>
          <w:b/>
          <w:bCs/>
        </w:rPr>
        <w:t xml:space="preserve">5-9 elementos</w:t>
      </w:r>
      <w:r>
        <w:t xml:space="preserve">, unos</w:t>
      </w:r>
      <w:r>
        <w:t xml:space="preserve"> </w:t>
      </w:r>
      <w:r>
        <w:rPr>
          <w:b/>
          <w:bCs/>
        </w:rPr>
        <w:t xml:space="preserve">30 segundos</w:t>
      </w:r>
      <w:r>
        <w:t xml:space="preserve"> </w:t>
      </w:r>
      <w:r>
        <w:t xml:space="preserve">sin ensayo (Papalia et al., 2009b, p. 159).</w:t>
      </w:r>
    </w:p>
    <w:p>
      <w:pPr>
        <w:pStyle w:val="Compact"/>
        <w:numPr>
          <w:ilvl w:val="0"/>
          <w:numId w:val="1001"/>
        </w:numPr>
      </w:pPr>
      <w:r>
        <w:t xml:space="preserve">Hipocampo: pérdida de ~</w:t>
      </w:r>
      <w:r>
        <w:rPr>
          <w:b/>
          <w:bCs/>
        </w:rPr>
        <w:t xml:space="preserve">20 %</w:t>
      </w:r>
      <w:r>
        <w:t xml:space="preserve"> </w:t>
      </w:r>
      <w:r>
        <w:t xml:space="preserve">de células; vulnerable a la presión arterial y al estrés (pp. 169-172).</w:t>
      </w:r>
    </w:p>
    <w:p>
      <w:pPr>
        <w:pStyle w:val="Compact"/>
        <w:numPr>
          <w:ilvl w:val="0"/>
          <w:numId w:val="1001"/>
        </w:numPr>
      </w:pPr>
      <w:r>
        <w:t xml:space="preserve">La mayoría de los estudios del procesamiento de información son</w:t>
      </w:r>
      <w:r>
        <w:t xml:space="preserve"> </w:t>
      </w:r>
      <w:r>
        <w:rPr>
          <w:b/>
          <w:bCs/>
        </w:rPr>
        <w:t xml:space="preserve">transversales</w:t>
      </w:r>
      <w:r>
        <w:t xml:space="preserve">: pueden reflejar efectos de cohorte (p. 156).</w:t>
      </w:r>
    </w:p>
    <w:p>
      <w:pPr>
        <w:pStyle w:val="Compact"/>
        <w:numPr>
          <w:ilvl w:val="0"/>
          <w:numId w:val="1001"/>
        </w:numPr>
      </w:pPr>
      <w:r>
        <w:t xml:space="preserve">Factores que influyen: sueño, nutrición, actividad, control percibido, cultura, escolaridad (pp. 174-175).</w:t>
      </w:r>
    </w:p>
    <w:bookmarkEnd w:id="14"/>
    <w:bookmarkStart w:id="15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Papalia, D. E., Sterns, H. L., Feldman, R. D., &amp; Camp, C. J. (2009b).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. McGraw Hill Interamericana.</w:t>
      </w:r>
    </w:p>
    <w:bookmarkEnd w:id="15"/>
    <w:bookmarkStart w:id="16" w:name="autoevaluación-rápida"/>
    <w:p>
      <w:pPr>
        <w:pStyle w:val="Heading2"/>
      </w:pPr>
      <w:r>
        <w:t xml:space="preserve">Autoevaluación rápida</w:t>
      </w:r>
    </w:p>
    <w:p>
      <w:pPr>
        <w:pStyle w:val="Compact"/>
        <w:numPr>
          <w:ilvl w:val="0"/>
          <w:numId w:val="1002"/>
        </w:numPr>
      </w:pPr>
      <w:r>
        <w:t xml:space="preserve">¿Qué dos enfoques estudian la memoria y qué estudia cada uno?</w:t>
      </w:r>
    </w:p>
    <w:p>
      <w:pPr>
        <w:pStyle w:val="Compact"/>
        <w:numPr>
          <w:ilvl w:val="0"/>
          <w:numId w:val="1002"/>
        </w:numPr>
      </w:pPr>
      <w:r>
        <w:t xml:space="preserve">¿Qué almacén casi no cambia con la edad y cuál se resiente más?</w:t>
      </w:r>
    </w:p>
    <w:p>
      <w:pPr>
        <w:pStyle w:val="Compact"/>
        <w:numPr>
          <w:ilvl w:val="0"/>
          <w:numId w:val="1002"/>
        </w:numPr>
      </w:pPr>
      <w:r>
        <w:t xml:space="preserve">Diferenciá recuerdo y reconocimiento, y episódica y semántica.</w:t>
      </w:r>
    </w:p>
    <w:p>
      <w:pPr>
        <w:pStyle w:val="Compact"/>
        <w:numPr>
          <w:ilvl w:val="0"/>
          <w:numId w:val="1002"/>
        </w:numPr>
      </w:pPr>
      <w:r>
        <w:t xml:space="preserve">¿Qué hacen el hipocampo y los lóbulos frontales?</w:t>
      </w:r>
    </w:p>
    <w:p>
      <w:pPr>
        <w:pStyle w:val="Compact"/>
        <w:numPr>
          <w:ilvl w:val="0"/>
          <w:numId w:val="1002"/>
        </w:numPr>
      </w:pPr>
      <w:r>
        <w:t xml:space="preserve">¿Qué es un error de intrusión? ¿Y la memoria prospectiva?</w:t>
      </w:r>
    </w:p>
    <w:p>
      <w:pPr>
        <w:pStyle w:val="Compact"/>
        <w:numPr>
          <w:ilvl w:val="0"/>
          <w:numId w:val="1002"/>
        </w:numPr>
      </w:pPr>
      <w:r>
        <w:t xml:space="preserve">Explicá los ejes del modelo E-I-E-I-O con un ejemplo propio.</w:t>
      </w:r>
    </w:p>
    <w:p>
      <w:pPr>
        <w:pStyle w:val="Compact"/>
        <w:numPr>
          <w:ilvl w:val="0"/>
          <w:numId w:val="1002"/>
        </w:numPr>
      </w:pPr>
      <w:r>
        <w:t xml:space="preserve">¿Por qué el olvido puede ser adaptativo?</w:t>
      </w:r>
    </w:p>
    <w:bookmarkEnd w:id="16"/>
    <w:bookmarkEnd w:id="17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C17 — Memoria · Ficha de repaso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2026-10-08T22:29:12Z</dcterms:created>
  <dcterms:modified xsi:type="dcterms:W3CDTF">2026-10-08T22:29:12Z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