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25138410d93050921c7c057c23e9076da1f8d1"/>
    <w:p>
      <w:pPr>
        <w:pStyle w:val="Heading1"/>
      </w:pPr>
      <w:r>
        <w:t xml:space="preserve">C22 — Afrontamiento y salud mental · Ficha de repaso</w:t>
      </w:r>
    </w:p>
    <w:p>
      <w:pPr>
        <w:pStyle w:val="RecuadroIdea"/>
      </w:pPr>
      <w:r>
        <w:rPr>
          <w:b/>
          <w:bCs/>
        </w:rPr>
        <w:t xml:space="preserve">Idea-fuerza: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salud mental</w:t>
      </w:r>
      <w:r>
        <w:t xml:space="preserve"> </w:t>
      </w:r>
      <w:r>
        <w:t xml:space="preserve">es «hacer lo mejor que uno puede con lo que tiene» (Kivnick): usar fortalezas y recursos para afrontar el estrés. Los</w:t>
      </w:r>
      <w:r>
        <w:t xml:space="preserve"> </w:t>
      </w:r>
      <w:r>
        <w:rPr>
          <w:b/>
          <w:bCs/>
        </w:rPr>
        <w:t xml:space="preserve">modelos de afrontamiento</w:t>
      </w:r>
      <w:r>
        <w:t xml:space="preserve"> </w:t>
      </w:r>
      <w:r>
        <w:t xml:space="preserve">(ambiental, conductual, de estilos y, sobre todo, el de</w:t>
      </w:r>
      <w:r>
        <w:t xml:space="preserve"> </w:t>
      </w:r>
      <w:r>
        <w:rPr>
          <w:b/>
          <w:bCs/>
        </w:rPr>
        <w:t xml:space="preserve">valoración cognitiva</w:t>
      </w:r>
      <w:r>
        <w:t xml:space="preserve"> </w:t>
      </w:r>
      <w:r>
        <w:t xml:space="preserve">de Lazarus) explican cómo se afronta: es un proceso dinámico, centrado en el problema o en la emoción. El</w:t>
      </w:r>
      <w:r>
        <w:t xml:space="preserve"> </w:t>
      </w:r>
      <w:r>
        <w:rPr>
          <w:b/>
          <w:bCs/>
        </w:rPr>
        <w:t xml:space="preserve">envejecimiento exitoso</w:t>
      </w:r>
      <w:r>
        <w:t xml:space="preserve"> </w:t>
      </w:r>
      <w:r>
        <w:t xml:space="preserve">se explica con modelos normativos (Peck, desvinculación, actividad) y de equilibrio (continuidad, Whitbourne). Cuando el afrontamiento falla: conductas destructivas y trastornos como depresión y demencia (Papalia et al., 2009b, pp. 433, 435, 438, 444-449, 461-475).</w:t>
      </w:r>
    </w:p>
    <w:p>
      <w:pPr>
        <w:pStyle w:val="BodyText"/>
      </w:pPr>
      <w:r>
        <w:drawing>
          <wp:inline>
            <wp:extent cx="5759999" cy="1271020"/>
            <wp:effectExtent b="0" l="0" r="0" t="0"/>
            <wp:docPr descr="Diagrama de la guía" title="" id="10" name="Picture"/>
            <a:graphic>
              <a:graphicData uri="http://schemas.openxmlformats.org/drawingml/2006/picture">
                <pic:pic>
                  <pic:nvPicPr>
                    <pic:cNvPr descr="C:/Users/Fmendezcasariego/OneDrive/Carpetas/Educación/Universidad/Favaloro/Psicología/2do%20Año/Psicología%20Evolutiva/3_Guias_de_Estudio/_media/C22_Afrontamiento_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271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" w:name="esqueletos-de-respuesta"/>
    <w:p>
      <w:pPr>
        <w:pStyle w:val="Heading2"/>
      </w:pPr>
      <w:r>
        <w:t xml:space="preserve">Esqueletos de respuesta</w:t>
      </w:r>
    </w:p>
    <w:p>
      <w:pPr>
        <w:pStyle w:val="FirstParagraph"/>
      </w:pPr>
      <w:r>
        <w:rPr>
          <w:b/>
          <w:bCs/>
        </w:rPr>
        <w:t xml:space="preserve">P1. Modelos de afrontamiento.</w:t>
      </w:r>
      <w:r>
        <w:t xml:space="preserve"> </w:t>
      </w:r>
      <w:r>
        <w:t xml:space="preserve">1) Ambiental: unidades de cambio de vida (Holmes y Rahe), congruencia, competencia-presión (pp. 435-436). 2) Conductual: desesperanza aprendida (p. 437). 3) Estilos: mecanismos de Vaillant (maduro, neurótico, inmaduro, psicótico) (p. 437). 4) Valoración cognitiva (Lazarus): valorar, elegir, evaluar y revalorar (pp. 438-439). 5) Ninguna estrategia es mala en sí.</w:t>
      </w:r>
    </w:p>
    <w:p>
      <w:pPr>
        <w:pStyle w:val="BodyText"/>
      </w:pPr>
      <w:r>
        <w:rPr>
          <w:b/>
          <w:bCs/>
        </w:rPr>
        <w:t xml:space="preserve">P2. Problema vs. emoción.</w:t>
      </w:r>
      <w:r>
        <w:t xml:space="preserve"> </w:t>
      </w:r>
      <w:r>
        <w:t xml:space="preserve">Problema: eliminar o gestionar lo que estresa (cuando se ve posible un cambio); emoción: manejar la respuesta emocional (cuando poco puede hacerse); los ancianos usan más las centradas en la emoción, y pueden ser más selectivos (pp. 439-441). Ejemplos: la «posesión» en Malasia, la religión.</w:t>
      </w:r>
    </w:p>
    <w:p>
      <w:pPr>
        <w:pStyle w:val="BodyText"/>
      </w:pPr>
      <w:r>
        <w:rPr>
          <w:b/>
          <w:bCs/>
        </w:rPr>
        <w:t xml:space="preserve">P3. Envejecimiento exitoso.</w:t>
      </w:r>
      <w:r>
        <w:t xml:space="preserve"> </w:t>
      </w:r>
      <w:r>
        <w:t xml:space="preserve">MacArthur: evitar enfermedad y discapacidad, mantener el funcionamiento, involucrarse activamente (p. 444); críticas: puede cargar y «culpar a las víctimas» (pp. 444-445). Peck: siete ajustes. Desvinculación vs. actividad vs. continuidad (Atchley); estilos de identidad de Whitbourne (pp. 445-449).</w:t>
      </w:r>
    </w:p>
    <w:p>
      <w:pPr>
        <w:pStyle w:val="BodyText"/>
      </w:pPr>
      <w:r>
        <w:rPr>
          <w:b/>
          <w:bCs/>
        </w:rPr>
        <w:t xml:space="preserve">P4. Conductas destructivas.</w:t>
      </w:r>
      <w:r>
        <w:t xml:space="preserve"> </w:t>
      </w:r>
      <w:r>
        <w:t xml:space="preserve">Abuso y dependencia de sustancias (alcohol, efectos de cohorte); violencia del compañero íntimo; abuso infantil y de ancianos (pp. 450-460).</w:t>
      </w:r>
    </w:p>
    <w:p>
      <w:pPr>
        <w:pStyle w:val="BodyText"/>
      </w:pPr>
      <w:r>
        <w:rPr>
          <w:b/>
          <w:bCs/>
        </w:rPr>
        <w:t xml:space="preserve">P5. Salud mental en la vejez.</w:t>
      </w:r>
      <w:r>
        <w:t xml:space="preserve"> </w:t>
      </w:r>
      <w:r>
        <w:t xml:space="preserve">La mayoría goza de buena salud mental; ciclo de vida (multidireccionalidad, plasticidad); seis dimensiones de Ryff; depresión (subdiagnosticada, tratable), demencia, hipocondría; fortalezas de Kivnick (pp. 461-473).</w:t>
      </w:r>
    </w:p>
    <w:bookmarkEnd w:id="12"/>
    <w:bookmarkStart w:id="13" w:name="no-confundir"/>
    <w:p>
      <w:pPr>
        <w:pStyle w:val="Heading2"/>
      </w:pPr>
      <w:r>
        <w:t xml:space="preserve">No confundir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Enfocado en el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Enfocado en la emoción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la situación / manejar la respuesta emocional (p. 439)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Afrontamiento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Conducta adaptativa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Esfuerzo ante exigencia excesiva / respuesta aprendida (p. 438)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Valoración cognitiva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Mecanicista / contextual y dinámico (pp. 435-438)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Desvinculación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 / 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Retiro universal / más actividad es mejor / equilibrio continuidad-cambio (pp. 446-448)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Abuso de sustancias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Patrón mal adaptado / tolerancia, abstinencia, control perdido (p. 450)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Daño activo / fracaso en satisfacer necesidades (p. 457)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Demencia / pseudodemencia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Trastorno del ánimo / múltiples déficits cognitivos / deterioro cognitivo por depresión (pp. 465-470)</w:t>
            </w:r>
          </w:p>
        </w:tc>
      </w:tr>
    </w:tbl>
    <w:bookmarkEnd w:id="13"/>
    <w:bookmarkStart w:id="14" w:name="citas-y-datos-que-conviene-saber"/>
    <w:p>
      <w:pPr>
        <w:pStyle w:val="Heading2"/>
      </w:pPr>
      <w:r>
        <w:t xml:space="preserve">Citas y datos que conviene saber</w:t>
      </w:r>
    </w:p>
    <w:p>
      <w:pPr>
        <w:pStyle w:val="Compact"/>
        <w:numPr>
          <w:ilvl w:val="0"/>
          <w:numId w:val="1001"/>
        </w:numPr>
      </w:pPr>
      <w:r>
        <w:t xml:space="preserve">Kivnick: salud mental = «hacer lo mejor que uno puede con lo que tiene» (Kivnick, 1993, p. 15, citado en Papalia et al., 2009b, p. 433).</w:t>
      </w:r>
    </w:p>
    <w:p>
      <w:pPr>
        <w:pStyle w:val="Compact"/>
        <w:numPr>
          <w:ilvl w:val="0"/>
          <w:numId w:val="1001"/>
        </w:numPr>
      </w:pPr>
      <w:r>
        <w:t xml:space="preserve">Koenig et al. (1988): la</w:t>
      </w:r>
      <w:r>
        <w:t xml:space="preserve"> </w:t>
      </w:r>
      <w:r>
        <w:rPr>
          <w:b/>
          <w:bCs/>
        </w:rPr>
        <w:t xml:space="preserve">religión</w:t>
      </w:r>
      <w:r>
        <w:t xml:space="preserve"> </w:t>
      </w:r>
      <w:r>
        <w:t xml:space="preserve">fue la estrategia más citada (17,4 %) (Papalia et al., 2009b, tabla 12.1, pp. 441-442).</w:t>
      </w:r>
    </w:p>
    <w:p>
      <w:pPr>
        <w:pStyle w:val="Compact"/>
        <w:numPr>
          <w:ilvl w:val="0"/>
          <w:numId w:val="1001"/>
        </w:numPr>
      </w:pPr>
      <w:r>
        <w:t xml:space="preserve">Abuso de ancianos:</w:t>
      </w:r>
      <w:r>
        <w:t xml:space="preserve"> </w:t>
      </w:r>
      <w:r>
        <w:rPr>
          <w:b/>
          <w:bCs/>
        </w:rPr>
        <w:t xml:space="preserve">90 %</w:t>
      </w:r>
      <w:r>
        <w:t xml:space="preserve"> </w:t>
      </w:r>
      <w:r>
        <w:t xml:space="preserve">de los abusadores son familiares (p. 458). Depresión: subdiagnosticada en ancianos (p. 466).</w:t>
      </w:r>
    </w:p>
    <w:bookmarkEnd w:id="14"/>
    <w:bookmarkStart w:id="15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Papalia, D. E., Sterns, H. L., Feldman, R. D., &amp; Camp, C. J. (2009b).</w:t>
      </w:r>
      <w:r>
        <w:t xml:space="preserve"> </w:t>
      </w:r>
      <w:r>
        <w:rPr>
          <w:i/>
          <w:iCs/>
        </w:rPr>
        <w:t xml:space="preserve">Desarrollo del adulto y vejez</w:t>
      </w:r>
      <w:r>
        <w:t xml:space="preserve">. McGraw Hill Interamericana.</w:t>
      </w:r>
    </w:p>
    <w:bookmarkEnd w:id="15"/>
    <w:bookmarkStart w:id="16" w:name="autoevaluación-rápida"/>
    <w:p>
      <w:pPr>
        <w:pStyle w:val="Heading2"/>
      </w:pPr>
      <w:r>
        <w:t xml:space="preserve">Autoevaluación rápida</w:t>
      </w:r>
    </w:p>
    <w:p>
      <w:pPr>
        <w:pStyle w:val="Compact"/>
        <w:numPr>
          <w:ilvl w:val="0"/>
          <w:numId w:val="1002"/>
        </w:numPr>
      </w:pPr>
      <w:r>
        <w:t xml:space="preserve">¿Cómo define Kivnick la salud mental?</w:t>
      </w:r>
    </w:p>
    <w:p>
      <w:pPr>
        <w:pStyle w:val="Compact"/>
        <w:numPr>
          <w:ilvl w:val="0"/>
          <w:numId w:val="1002"/>
        </w:numPr>
      </w:pPr>
      <w:r>
        <w:t xml:space="preserve">Los cuatro modelos de afrontamiento en una oración cada uno.</w:t>
      </w:r>
    </w:p>
    <w:p>
      <w:pPr>
        <w:pStyle w:val="Compact"/>
        <w:numPr>
          <w:ilvl w:val="0"/>
          <w:numId w:val="1002"/>
        </w:numPr>
      </w:pPr>
      <w:r>
        <w:t xml:space="preserve">Diferenciá afrontamiento enfocado en el problema y en la emoción.</w:t>
      </w:r>
    </w:p>
    <w:p>
      <w:pPr>
        <w:pStyle w:val="Compact"/>
        <w:numPr>
          <w:ilvl w:val="0"/>
          <w:numId w:val="1002"/>
        </w:numPr>
      </w:pPr>
      <w:r>
        <w:t xml:space="preserve">Desvinculación, actividad y continuidad: ¿qué dice cada una?</w:t>
      </w:r>
    </w:p>
    <w:p>
      <w:pPr>
        <w:pStyle w:val="Compact"/>
        <w:numPr>
          <w:ilvl w:val="0"/>
          <w:numId w:val="1002"/>
        </w:numPr>
      </w:pPr>
      <w:r>
        <w:t xml:space="preserve">¿Por qué se subdiagnostica la depresión en los ancianos?</w:t>
      </w:r>
    </w:p>
    <w:p>
      <w:pPr>
        <w:pStyle w:val="Compact"/>
        <w:numPr>
          <w:ilvl w:val="0"/>
          <w:numId w:val="1002"/>
        </w:numPr>
      </w:pPr>
      <w:r>
        <w:t xml:space="preserve">Seis dimensiones del bienestar de Ryff.</w:t>
      </w:r>
    </w:p>
    <w:p>
      <w:pPr>
        <w:pStyle w:val="Compact"/>
        <w:numPr>
          <w:ilvl w:val="0"/>
          <w:numId w:val="1002"/>
        </w:numPr>
      </w:pPr>
      <w:r>
        <w:t xml:space="preserve">¿Qué propone Kivnick con la valoración de fortalezas?</w:t>
      </w:r>
    </w:p>
    <w:bookmarkEnd w:id="16"/>
    <w:bookmarkEnd w:id="17"/>
    <w:sectPr>
      <w:headerReference r:id="rIdHdr1" w:type="default"/>
      <w:footerReference r:id="rIdFtr1" w:type="default"/>
      <w:pgSz w:h="16838" w:w="11906"/>
      <w:pgMar w:bottom="720" w:footer="397" w:gutter="0" w:header="397" w:left="720" w:right="1701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Guia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EncabezadoGuia"/>
    </w:pPr>
    <w:r>
      <w:t xml:space="preserve">C22 — Afrontamiento y salud mental · Ficha de repaso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  <w:jc w:val="both"/>
    </w:pPr>
    <w:rPr>
      <w:rFonts w:ascii="Calibri" w:hAnsi="Calibri"/>
      <w:color w:val="14202B"/>
      <w:sz w:val="22"/>
    </w:rPr>
  </w:style>
  <w:style w:styleId="BodyText" w:type="paragraph">
    <w:name w:val="Body Text"/>
    <w:basedOn w:val="Normal"/>
    <w:link w:val="BodyTextChar"/>
    <w:pPr>
      <w:spacing w:after="120" w:before="180" w:line="276" w:lineRule="auto"/>
    </w:pPr>
    <w:qFormat/>
    <w:rPr>
      <w:rFonts w:ascii="Calibri" w:hAnsi="Calibri"/>
      <w:color w:val="14202B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hAnsi="Calibri"/>
      <w:color w:val="14202B"/>
      <w:sz w:val="22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Calibri" w:hAnsi="Calibri"/>
      <w:color w:val="14202B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left"/>
    </w:pPr>
    <w:rPr>
      <w:rFonts w:ascii="Calibri" w:asciiTheme="majorHAnsi" w:cstheme="majorBidi" w:eastAsiaTheme="majorEastAsia" w:hAnsi="Calibri" w:hAnsiTheme="majorHAnsi"/>
      <w:b/>
      <w:bCs/>
      <w:color w:val="0F6B6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left"/>
    </w:pPr>
  </w:style>
  <w:style w:styleId="Date" w:type="paragraph">
    <w:name w:val="Date"/>
    <w:next w:val="BodyText"/>
    <w:qFormat/>
    <w:pPr>
      <w:keepNext/>
      <w:keepLines/>
      <w:jc w:val="left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0F6B6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0F6B6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Calibri" w:asciiTheme="majorHAnsi" w:cstheme="majorBidi" w:eastAsiaTheme="majorEastAsia" w:hAnsi="Calibri" w:hAnsiTheme="majorHAnsi"/>
      <w:b/>
      <w:bCs/>
      <w:color w:val="0F6B66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14202B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C9D1D9" w:space="8" w:sz="12" w:val="single"/>
      </w:pBdr>
      <w:spacing w:after="100" w:before="100"/>
      <w:ind w:firstLine="0" w:left="454" w:right="480"/>
    </w:pPr>
    <w:rPr>
      <w:rFonts w:ascii="Calibri" w:hAnsi="Calibri"/>
      <w:color w:val="5D6B78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left"/>
    </w:pPr>
    <w:rPr>
      <w:i/>
      <w:color w:val="5D6B78"/>
      <w:sz w:val="18"/>
    </w:rPr>
  </w:style>
  <w:style w:customStyle="1" w:styleId="TableCaption" w:type="paragraph">
    <w:name w:val="Table Caption"/>
    <w:basedOn w:val="Caption"/>
    <w:pPr>
      <w:keepNext/>
      <w:jc w:val="left"/>
    </w:pPr>
    <w:rPr>
      <w:color w:val="5D6B78"/>
      <w:sz w:val="18"/>
    </w:rPr>
  </w:style>
  <w:style w:customStyle="1" w:styleId="ImageCaption" w:type="paragraph">
    <w:name w:val="Image Caption"/>
    <w:basedOn w:val="Caption"/>
    <w:pPr>
      <w:jc w:val="left"/>
    </w:pPr>
    <w:rPr>
      <w:color w:val="5D6B78"/>
      <w:sz w:val="18"/>
    </w:r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ecuadroIdea" w:type="paragraph">
    <w:name w:val="Recuadro Idea"/>
    <w:basedOn w:val="BodyText"/>
    <w:uiPriority w:val="10"/>
    <w:qFormat/>
    <w:pPr>
      <w:pBdr>
        <w:top w:color="EAF2FC" w:space="4" w:sz="4" w:val="single"/>
        <w:left w:color="2F6DB5" w:space="8" w:sz="24" w:val="single"/>
        <w:bottom w:color="EAF2FC" w:space="4" w:sz="4" w:val="single"/>
        <w:right w:color="EAF2FC" w:space="8" w:sz="4" w:val="single"/>
      </w:pBdr>
      <w:shd w:color="auto" w:fill="EAF2F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lave" w:type="paragraph">
    <w:name w:val="Recuadro Clave"/>
    <w:basedOn w:val="BodyText"/>
    <w:uiPriority w:val="10"/>
    <w:qFormat/>
    <w:pPr>
      <w:pBdr>
        <w:top w:color="FFF6DC" w:space="4" w:sz="4" w:val="single"/>
        <w:left w:color="D9A21B" w:space="8" w:sz="24" w:val="single"/>
        <w:bottom w:color="FFF6DC" w:space="4" w:sz="4" w:val="single"/>
        <w:right w:color="FFF6DC" w:space="8" w:sz="4" w:val="single"/>
      </w:pBdr>
      <w:shd w:color="auto" w:fill="FFF6D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Parcial" w:type="paragraph">
    <w:name w:val="Recuadro Parcial"/>
    <w:basedOn w:val="BodyText"/>
    <w:uiPriority w:val="10"/>
    <w:qFormat/>
    <w:pPr>
      <w:pBdr>
        <w:top w:color="E8F5EC" w:space="4" w:sz="4" w:val="single"/>
        <w:left w:color="2E8B57" w:space="8" w:sz="24" w:val="single"/>
        <w:bottom w:color="E8F5EC" w:space="4" w:sz="4" w:val="single"/>
        <w:right w:color="E8F5EC" w:space="8" w:sz="4" w:val="single"/>
      </w:pBdr>
      <w:shd w:color="auto" w:fill="E8F5E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Esqueleto" w:type="paragraph">
    <w:name w:val="Recuadro Esqueleto"/>
    <w:basedOn w:val="BodyText"/>
    <w:uiPriority w:val="10"/>
    <w:qFormat/>
    <w:pPr>
      <w:pBdr>
        <w:top w:color="E3F2F1" w:space="4" w:sz="4" w:val="single"/>
        <w:left w:color="0F6B66" w:space="8" w:sz="24" w:val="single"/>
        <w:bottom w:color="E3F2F1" w:space="4" w:sz="4" w:val="single"/>
        <w:right w:color="E3F2F1" w:space="8" w:sz="4" w:val="single"/>
      </w:pBdr>
      <w:shd w:color="auto" w:fill="E3F2F1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Atencion" w:type="paragraph">
    <w:name w:val="Recuadro Atencion"/>
    <w:basedOn w:val="BodyText"/>
    <w:uiPriority w:val="10"/>
    <w:qFormat/>
    <w:pPr>
      <w:pBdr>
        <w:top w:color="FDECEA" w:space="4" w:sz="4" w:val="single"/>
        <w:left w:color="C0392B" w:space="8" w:sz="24" w:val="single"/>
        <w:bottom w:color="FDECEA" w:space="4" w:sz="4" w:val="single"/>
        <w:right w:color="FDECEA" w:space="8" w:sz="4" w:val="single"/>
      </w:pBdr>
      <w:shd w:color="auto" w:fill="FDECEA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omplemento" w:type="paragraph">
    <w:name w:val="Recuadro Complemento"/>
    <w:basedOn w:val="BodyText"/>
    <w:uiPriority w:val="10"/>
    <w:qFormat/>
    <w:pPr>
      <w:pBdr>
        <w:top w:color="F2F4F6" w:space="4" w:sz="4" w:val="single"/>
        <w:left w:color="8A96A3" w:space="8" w:sz="24" w:val="single"/>
        <w:bottom w:color="F2F4F6" w:space="4" w:sz="4" w:val="single"/>
        <w:right w:color="F2F4F6" w:space="8" w:sz="4" w:val="single"/>
      </w:pBdr>
      <w:shd w:color="auto" w:fill="F2F4F6" w:val="clear"/>
      <w:spacing w:after="40" w:before="40" w:line="264" w:lineRule="auto"/>
      <w:ind w:left="227" w:right="227"/>
    </w:pPr>
    <w:rPr>
      <w:color w:val="3D4A57"/>
      <w:sz w:val="21"/>
      <w:szCs w:val="21"/>
    </w:rPr>
  </w:style>
  <w:style w:customStyle="1" w:styleId="RecuadroFuente" w:type="paragraph">
    <w:name w:val="Recuadro Fuente"/>
    <w:basedOn w:val="BodyText"/>
    <w:uiPriority w:val="10"/>
    <w:qFormat/>
    <w:pPr>
      <w:pBdr>
        <w:top w:color="F7F8FA" w:space="4" w:sz="4" w:val="single"/>
        <w:left w:color="C9D1D9" w:space="8" w:sz="24" w:val="single"/>
        <w:bottom w:color="F7F8FA" w:space="4" w:sz="4" w:val="single"/>
        <w:right w:color="F7F8FA" w:space="8" w:sz="4" w:val="single"/>
      </w:pBdr>
      <w:shd w:color="auto" w:fill="F7F8FA" w:val="clear"/>
      <w:spacing w:after="40" w:before="40" w:line="264" w:lineRule="auto"/>
      <w:ind w:left="227" w:right="227"/>
    </w:pPr>
    <w:rPr>
      <w:color w:val="3D4A57"/>
      <w:sz w:val="19"/>
      <w:szCs w:val="19"/>
    </w:rPr>
  </w:style>
  <w:style w:customStyle="1" w:styleId="EncabezadoGuia" w:type="paragraph">
    <w:name w:val="Encabezado guia"/>
    <w:basedOn w:val="Normal"/>
    <w:pPr>
      <w:pBdr>
        <w:bottom w:color="C9D1D9" w:space="2" w:sz="4" w:val="single"/>
      </w:pBdr>
      <w:jc w:val="right"/>
      <w:spacing w:after="0"/>
    </w:pPr>
    <w:rPr>
      <w:color w:val="5D6B78"/>
      <w:sz w:val="17"/>
    </w:rPr>
  </w:style>
  <w:style w:customStyle="1" w:styleId="PieGuia" w:type="paragraph">
    <w:name w:val="Pie guia"/>
    <w:basedOn w:val="Normal"/>
    <w:pPr>
      <w:jc w:val="center"/>
      <w:spacing w:after="0"/>
    </w:pPr>
    <w:rPr>
      <w:color w:val="5D6B78"/>
      <w:sz w:val="17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2026-10-08T22:29:20Z</dcterms:created>
  <dcterms:modified xsi:type="dcterms:W3CDTF">2026-10-08T22:29:20Z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in_saltos">
    <vt:lpwstr>True</vt:lpwstr>
  </property>
</Properties>
</file>