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23-muerte-y-duelo-ficha-de-repaso"/>
    <w:p>
      <w:pPr>
        <w:pStyle w:val="Heading1"/>
      </w:pPr>
      <w:r>
        <w:t xml:space="preserve">C23 — Muerte y duelo · Ficha de repaso</w:t>
      </w:r>
    </w:p>
    <w:p>
      <w:pPr>
        <w:pStyle w:val="RecuadroIdea"/>
      </w:pPr>
      <w:r>
        <w:rPr>
          <w:b/>
          <w:bCs/>
        </w:rPr>
        <w:t xml:space="preserve">Idea-fuerza:</w:t>
      </w:r>
      <w:r>
        <w:t xml:space="preserve"> </w:t>
      </w:r>
      <w:r>
        <w:t xml:space="preserve">La muerte tiene tres aspectos —</w:t>
      </w:r>
      <w:r>
        <w:rPr>
          <w:b/>
          <w:bCs/>
        </w:rPr>
        <w:t xml:space="preserve">biológico, social y psicológico</w:t>
      </w:r>
      <w:r>
        <w:t xml:space="preserve">— y su significado depende de la cultura y la cohorte.</w:t>
      </w:r>
      <w:r>
        <w:t xml:space="preserve"> </w:t>
      </w:r>
      <w:r>
        <w:rPr>
          <w:b/>
          <w:bCs/>
        </w:rPr>
        <w:t xml:space="preserve">Kübler-Ross</w:t>
      </w:r>
      <w:r>
        <w:t xml:space="preserve"> </w:t>
      </w:r>
      <w:r>
        <w:t xml:space="preserve">describió cinco «etapas» del morir que</w:t>
      </w:r>
      <w:r>
        <w:t xml:space="preserve"> </w:t>
      </w:r>
      <w:r>
        <w:rPr>
          <w:b/>
          <w:bCs/>
        </w:rPr>
        <w:t xml:space="preserve">no son universales ni secuenciales</w:t>
      </w:r>
      <w:r>
        <w:t xml:space="preserve">. El</w:t>
      </w:r>
      <w:r>
        <w:t xml:space="preserve"> </w:t>
      </w:r>
      <w:r>
        <w:rPr>
          <w:b/>
          <w:bCs/>
        </w:rPr>
        <w:t xml:space="preserve">duelo</w:t>
      </w:r>
      <w:r>
        <w:t xml:space="preserve"> </w:t>
      </w:r>
      <w:r>
        <w:t xml:space="preserve">(pérdida y ajuste), la</w:t>
      </w:r>
      <w:r>
        <w:t xml:space="preserve"> </w:t>
      </w:r>
      <w:r>
        <w:rPr>
          <w:b/>
          <w:bCs/>
        </w:rPr>
        <w:t xml:space="preserve">pena</w:t>
      </w:r>
      <w:r>
        <w:t xml:space="preserve"> </w:t>
      </w:r>
      <w:r>
        <w:t xml:space="preserve">(emoción) y el</w:t>
      </w:r>
      <w:r>
        <w:t xml:space="preserve"> </w:t>
      </w:r>
      <w:r>
        <w:rPr>
          <w:b/>
          <w:bCs/>
        </w:rPr>
        <w:t xml:space="preserve">luto</w:t>
      </w:r>
      <w:r>
        <w:t xml:space="preserve"> </w:t>
      </w:r>
      <w:r>
        <w:t xml:space="preserve">(conducta cultural) no siguen un solo patrón: en el estudio</w:t>
      </w:r>
      <w:r>
        <w:t xml:space="preserve"> </w:t>
      </w:r>
      <w:r>
        <w:rPr>
          <w:b/>
          <w:bCs/>
        </w:rPr>
        <w:t xml:space="preserve">CLOC</w:t>
      </w:r>
      <w:r>
        <w:t xml:space="preserve"> </w:t>
      </w:r>
      <w:r>
        <w:t xml:space="preserve">lo más frecuente fue la</w:t>
      </w:r>
      <w:r>
        <w:t xml:space="preserve"> </w:t>
      </w:r>
      <w:r>
        <w:rPr>
          <w:b/>
          <w:bCs/>
        </w:rPr>
        <w:t xml:space="preserve">resiliencia</w:t>
      </w:r>
      <w:r>
        <w:t xml:space="preserve">. El suicidio y la ayuda para morir son temas controvertidos, y encontrar sentido (revisión de vida) reduce el miedo a morir (Papalia et al., 2009b, pp. 478-479, 487, 495-496, 516-519).</w:t>
      </w:r>
    </w:p>
    <w:p>
      <w:pPr>
        <w:pStyle w:val="BodyText"/>
      </w:pPr>
      <w:r>
        <w:drawing>
          <wp:inline>
            <wp:extent cx="5759999" cy="830204"/>
            <wp:effectExtent b="0" l="0" r="0" t="0"/>
            <wp:docPr descr="Diagrama de la guía" title="" id="10" name="Picture"/>
            <a:graphic>
              <a:graphicData uri="http://schemas.openxmlformats.org/drawingml/2006/picture">
                <pic:pic>
                  <pic:nvPicPr>
                    <pic:cNvPr descr="C:/Users/Fmendezcasariego/OneDrive/Carpetas/Educación/Universidad/Favaloro/Psicología/2do%20Año/Psicología%20Evolutiva/3_Guias_de_Estudio/_media/C23_MuerteYDuelo_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30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" w:name="esqueletos-de-respuesta"/>
    <w:p>
      <w:pPr>
        <w:pStyle w:val="Heading2"/>
      </w:pPr>
      <w:r>
        <w:t xml:space="preserve">Esqueletos de respuesta</w:t>
      </w:r>
    </w:p>
    <w:p>
      <w:pPr>
        <w:pStyle w:val="FirstParagraph"/>
      </w:pPr>
      <w:r>
        <w:rPr>
          <w:b/>
          <w:bCs/>
        </w:rPr>
        <w:t xml:space="preserve">P1. Cambios históricos y aspectos de la muerte.</w:t>
      </w:r>
      <w:r>
        <w:t xml:space="preserve"> </w:t>
      </w:r>
      <w:r>
        <w:t xml:space="preserve">Antes: mortalidad alta, muerte cotidiana; hoy «revolución en la mortalidad», muerte concentrada en mayores y fuera del hogar (pp. 478-479). Aspectos: biológico, social, psicológico (pp. 479-480). Resurge el interés: tanatología, educación para la muerte, hospicio (pp. 481-482).</w:t>
      </w:r>
    </w:p>
    <w:p>
      <w:pPr>
        <w:pStyle w:val="BodyText"/>
      </w:pPr>
      <w:r>
        <w:rPr>
          <w:b/>
          <w:bCs/>
        </w:rPr>
        <w:t xml:space="preserve">P2. Kübler-Ross.</w:t>
      </w:r>
      <w:r>
        <w:t xml:space="preserve"> </w:t>
      </w:r>
      <w:r>
        <w:t xml:space="preserve">Cinco etapas (negación, ira, negociación, depresión, aceptación) a partir de ~500 pacientes (p. 487). Críticas: no son verdaderas etapas; no todos las atraviesan ni en orden; no son criterio de «buen morir» (p. 487).</w:t>
      </w:r>
    </w:p>
    <w:p>
      <w:pPr>
        <w:pStyle w:val="BodyText"/>
      </w:pPr>
      <w:r>
        <w:rPr>
          <w:b/>
          <w:bCs/>
        </w:rPr>
        <w:t xml:space="preserve">P3. Actitudes por edad y caída terminal.</w:t>
      </w:r>
      <w:r>
        <w:t xml:space="preserve"> </w:t>
      </w:r>
      <w:r>
        <w:t xml:space="preserve">Jóvenes: evitan pensarla; medios: toman conciencia del tiempo que queda; mayores: menos ansiedad, integridad vs. desesperación (pp. 483-484). Caída terminal: declive cognitivo que predice la muerte hasta once años después (p. 485).</w:t>
      </w:r>
    </w:p>
    <w:p>
      <w:pPr>
        <w:pStyle w:val="BodyText"/>
      </w:pPr>
      <w:r>
        <w:rPr>
          <w:b/>
          <w:bCs/>
        </w:rPr>
        <w:t xml:space="preserve">P4. Duelo.</w:t>
      </w:r>
      <w:r>
        <w:t xml:space="preserve"> </w:t>
      </w:r>
      <w:r>
        <w:t xml:space="preserve">Definiciones (p. 487); modelo de tres fases: conmoción e incredulidad, preocupación por la memoria, resolución (pp. 492-493); Wortman y Silver: cinco mitos y tres patrones (pp. 493-494); pérdida ambigua (Boss) (p. 494).</w:t>
      </w:r>
    </w:p>
    <w:p>
      <w:pPr>
        <w:pStyle w:val="BodyText"/>
      </w:pPr>
      <w:r>
        <w:rPr>
          <w:b/>
          <w:bCs/>
        </w:rPr>
        <w:t xml:space="preserve">P5. Estudio CLOC.</w:t>
      </w:r>
      <w:r>
        <w:t xml:space="preserve"> </w:t>
      </w:r>
      <w:r>
        <w:t xml:space="preserve">1 532 ancianos casados; seguimiento de 185 viudos a los 6 meses y 4 años: resiliencia 46 %, duelo común 11 %, afligidos crónicos 16 %, crónicamente deprimidos 8 %, mejoraron 10 % (pp. 495-496). No urgir a «trabajar» la pérdida; la terapia de duelo puede ser ineficaz o dañina (pp. 496-497).</w:t>
      </w:r>
    </w:p>
    <w:p>
      <w:pPr>
        <w:pStyle w:val="BodyText"/>
      </w:pPr>
      <w:r>
        <w:rPr>
          <w:b/>
          <w:bCs/>
        </w:rPr>
        <w:t xml:space="preserve">P6. Pérdidas.</w:t>
      </w:r>
      <w:r>
        <w:t xml:space="preserve"> </w:t>
      </w:r>
      <w:r>
        <w:t xml:space="preserve">Cónyuge: rol, social, económica (ingreso −44 %), salud; padre: experiencia de maduración; hijo: pérdida no normativa, la más difícil (pp. 497-505).</w:t>
      </w:r>
    </w:p>
    <w:p>
      <w:pPr>
        <w:pStyle w:val="BodyText"/>
      </w:pPr>
      <w:r>
        <w:rPr>
          <w:b/>
          <w:bCs/>
        </w:rPr>
        <w:t xml:space="preserve">P7. Suicidio y ayuda para morir.</w:t>
      </w:r>
      <w:r>
        <w:t xml:space="preserve"> </w:t>
      </w:r>
      <w:r>
        <w:t xml:space="preserve">Suicidio: más en hombres y mayores, asociado a depresión y enfermedad; señales de advertencia (pp. 506-509). Eutanasia activa/pasiva, suicidio asistido, directivas médicas; argumentos (autonomía vs. protección de vulnerables, «terreno resbaloso»); Oregon y Holanda (pp. 509-516).</w:t>
      </w:r>
    </w:p>
    <w:p>
      <w:pPr>
        <w:pStyle w:val="BodyText"/>
      </w:pPr>
      <w:r>
        <w:rPr>
          <w:b/>
          <w:bCs/>
        </w:rPr>
        <w:t xml:space="preserve">P8. Sentido.</w:t>
      </w:r>
      <w:r>
        <w:t xml:space="preserve"> </w:t>
      </w:r>
      <w:r>
        <w:t xml:space="preserve">Revisión de vida (integridad del yo); reminiscencias integradoras e instrumentales vs. evasivas y obsesivas; más propósito, menos miedo a morir (Durlak) (pp. 516-519).</w:t>
      </w:r>
    </w:p>
    <w:bookmarkEnd w:id="12"/>
    <w:bookmarkStart w:id="13" w:name="no-confundir"/>
    <w:p>
      <w:pPr>
        <w:pStyle w:val="Heading2"/>
      </w:pPr>
      <w:r>
        <w:t xml:space="preserve">No confundir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 / luto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y ajuste / respuesta emocional / conducta culturalmente aceptada (p. 487)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 anticipatoria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Duelo ausente o demorado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Pesar con la persona viva / falta de aflicción obvia (pp. 492, 495)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Resiliencia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Duelo crónico / depresión crónica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Aflicción baja que disminuye / depresión tras la pérdida / depresión previa y posterior (p. 496)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Pérdida ambigua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Trastorno psicológico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Trastorno de relación con pena «congelada» (p. 494)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Eutanasia pasiva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 / suicidio asistido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Retirar tratamiento / acción deliberada para terminar con la vida / el paciente realiza la acción (pp. 509, 512)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Testamento en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notarial duradero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Instrucciones específicas / designa quién decide (pp. 510-511)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 hospitalario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Paliativo centrado en la familia / orientado a curar (pp. 481-482)</w:t>
            </w:r>
          </w:p>
        </w:tc>
      </w:tr>
    </w:tbl>
    <w:bookmarkEnd w:id="13"/>
    <w:bookmarkStart w:id="14" w:name="citas-y-datos-que-conviene-saber"/>
    <w:p>
      <w:pPr>
        <w:pStyle w:val="Heading2"/>
      </w:pPr>
      <w:r>
        <w:t xml:space="preserve">Citas y datos que conviene saber</w:t>
      </w:r>
    </w:p>
    <w:p>
      <w:pPr>
        <w:pStyle w:val="Compact"/>
        <w:numPr>
          <w:ilvl w:val="0"/>
          <w:numId w:val="1001"/>
        </w:numPr>
      </w:pPr>
      <w:r>
        <w:t xml:space="preserve">Saunders: «Tú importas hasta el último momento de tu vida» (National Hospice Organization, s. f., p. 6, citado en Papalia et al., 2009b, p. 482).</w:t>
      </w:r>
    </w:p>
    <w:p>
      <w:pPr>
        <w:pStyle w:val="Compact"/>
        <w:numPr>
          <w:ilvl w:val="0"/>
          <w:numId w:val="1001"/>
        </w:numPr>
      </w:pPr>
      <w:r>
        <w:t xml:space="preserve">Hombres:</w:t>
      </w:r>
      <w:r>
        <w:t xml:space="preserve"> </w:t>
      </w:r>
      <w:r>
        <w:rPr>
          <w:b/>
          <w:bCs/>
        </w:rPr>
        <w:t xml:space="preserve">cuatro veces</w:t>
      </w:r>
      <w:r>
        <w:t xml:space="preserve"> </w:t>
      </w:r>
      <w:r>
        <w:t xml:space="preserve">más probabilidad de consumar el suicidio; los hombres blancos de 50+ son el 30 % de los suicidios (Papalia et al., 2009b, pp. 506).</w:t>
      </w:r>
    </w:p>
    <w:p>
      <w:pPr>
        <w:pStyle w:val="Compact"/>
        <w:numPr>
          <w:ilvl w:val="0"/>
          <w:numId w:val="1001"/>
        </w:numPr>
      </w:pPr>
      <w:r>
        <w:t xml:space="preserve">Terapia de duelo: dañina en 38 % en un estudio (pp. 496-497).</w:t>
      </w:r>
    </w:p>
    <w:bookmarkEnd w:id="14"/>
    <w:bookmarkStart w:id="15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Papalia, D. E., Sterns, H. L., Feldman, R. D., &amp; Camp, C. J. (2009b).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. McGraw Hill Interamericana.</w:t>
      </w:r>
    </w:p>
    <w:bookmarkEnd w:id="15"/>
    <w:bookmarkStart w:id="16" w:name="autoevaluación-rápida"/>
    <w:p>
      <w:pPr>
        <w:pStyle w:val="Heading2"/>
      </w:pPr>
      <w:r>
        <w:t xml:space="preserve">Autoevaluación rápida</w:t>
      </w:r>
    </w:p>
    <w:p>
      <w:pPr>
        <w:pStyle w:val="Compact"/>
        <w:numPr>
          <w:ilvl w:val="0"/>
          <w:numId w:val="1002"/>
        </w:numPr>
      </w:pPr>
      <w:r>
        <w:t xml:space="preserve">Los tres aspectos de la muerte y la «revolución en la mortalidad».</w:t>
      </w:r>
    </w:p>
    <w:p>
      <w:pPr>
        <w:pStyle w:val="Compact"/>
        <w:numPr>
          <w:ilvl w:val="0"/>
          <w:numId w:val="1002"/>
        </w:numPr>
      </w:pPr>
      <w:r>
        <w:t xml:space="preserve">Las cinco etapas de Kübler-Ross y sus críticas.</w:t>
      </w:r>
    </w:p>
    <w:p>
      <w:pPr>
        <w:pStyle w:val="Compact"/>
        <w:numPr>
          <w:ilvl w:val="0"/>
          <w:numId w:val="1002"/>
        </w:numPr>
      </w:pPr>
      <w:r>
        <w:t xml:space="preserve">Duelo, pena y luto.</w:t>
      </w:r>
    </w:p>
    <w:p>
      <w:pPr>
        <w:pStyle w:val="Compact"/>
        <w:numPr>
          <w:ilvl w:val="0"/>
          <w:numId w:val="1002"/>
        </w:numPr>
      </w:pPr>
      <w:r>
        <w:t xml:space="preserve">Los cinco mitos de Wortman y Silver.</w:t>
      </w:r>
    </w:p>
    <w:p>
      <w:pPr>
        <w:pStyle w:val="Compact"/>
        <w:numPr>
          <w:ilvl w:val="0"/>
          <w:numId w:val="1002"/>
        </w:numPr>
      </w:pPr>
      <w:r>
        <w:t xml:space="preserve">Patrones del estudio CLOC con porcentajes.</w:t>
      </w:r>
    </w:p>
    <w:p>
      <w:pPr>
        <w:pStyle w:val="Compact"/>
        <w:numPr>
          <w:ilvl w:val="0"/>
          <w:numId w:val="1002"/>
        </w:numPr>
      </w:pPr>
      <w:r>
        <w:t xml:space="preserve">Eutanasia activa, pasiva y suicidio asistido.</w:t>
      </w:r>
    </w:p>
    <w:p>
      <w:pPr>
        <w:pStyle w:val="Compact"/>
        <w:numPr>
          <w:ilvl w:val="0"/>
          <w:numId w:val="1002"/>
        </w:numPr>
      </w:pPr>
      <w:r>
        <w:t xml:space="preserve">¿Qué es la revisión de vida y qué tipos de reminiscencia hay?</w:t>
      </w:r>
    </w:p>
    <w:bookmarkEnd w:id="16"/>
    <w:bookmarkEnd w:id="17"/>
    <w:sectPr>
      <w:headerReference r:id="rIdHdr1" w:type="default"/>
      <w:footerReference r:id="rIdFtr1" w:type="default"/>
      <w:pgSz w:h="16838" w:w="11906"/>
      <w:pgMar w:bottom="720" w:footer="397" w:gutter="0" w:header="397" w:left="720" w:right="170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C23 — Muerte y duelo · Ficha de repaso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color w:val="1420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color w:val="14202B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left"/>
    </w:pPr>
    <w:rPr>
      <w:rFonts w:ascii="Calibri" w:asciiTheme="majorHAnsi" w:cstheme="majorBidi" w:eastAsiaTheme="majorEastAsia" w:hAnsi="Calibri" w:hAnsiTheme="majorHAnsi"/>
      <w:b/>
      <w:bCs/>
      <w:color w:val="0F6B6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left"/>
    </w:pPr>
  </w:style>
  <w:style w:styleId="Date" w:type="paragraph">
    <w:name w:val="Date"/>
    <w:next w:val="BodyText"/>
    <w:qFormat/>
    <w:pPr>
      <w:keepNext/>
      <w:keepLines/>
      <w:jc w:val="left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0F6B6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0F6B6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Calibri" w:asciiTheme="majorHAnsi" w:cstheme="majorBidi" w:eastAsiaTheme="majorEastAsia" w:hAnsi="Calibri" w:hAnsiTheme="majorHAnsi"/>
      <w:b/>
      <w:bCs/>
      <w:color w:val="0F6B6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14202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9D1D9" w:space="8" w:sz="12" w:val="single"/>
      </w:pBdr>
      <w:spacing w:after="100" w:before="100"/>
      <w:ind w:firstLine="0" w:left="454" w:right="480"/>
    </w:pPr>
    <w:rPr>
      <w:rFonts w:ascii="Calibri" w:hAnsi="Calibri"/>
      <w:color w:val="5D6B7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left"/>
    </w:pPr>
    <w:rPr>
      <w:i/>
      <w:color w:val="5D6B78"/>
      <w:sz w:val="18"/>
    </w:rPr>
  </w:style>
  <w:style w:customStyle="1" w:styleId="TableCaption" w:type="paragraph">
    <w:name w:val="Table Caption"/>
    <w:basedOn w:val="Caption"/>
    <w:pPr>
      <w:keepNext/>
      <w:jc w:val="left"/>
    </w:pPr>
    <w:rPr>
      <w:color w:val="5D6B78"/>
      <w:sz w:val="18"/>
    </w:rPr>
  </w:style>
  <w:style w:customStyle="1" w:styleId="ImageCaption" w:type="paragraph">
    <w:name w:val="Image Caption"/>
    <w:basedOn w:val="Caption"/>
    <w:pPr>
      <w:jc w:val="left"/>
    </w:pPr>
    <w:rPr>
      <w:color w:val="5D6B78"/>
      <w:sz w:val="18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cuadroIdea" w:type="paragraph">
    <w:name w:val="Recuadro Idea"/>
    <w:basedOn w:val="BodyText"/>
    <w:uiPriority w:val="10"/>
    <w:qFormat/>
    <w:pPr>
      <w:pBdr>
        <w:top w:color="EAF2FC" w:space="4" w:sz="4" w:val="single"/>
        <w:left w:color="2F6DB5" w:space="8" w:sz="24" w:val="single"/>
        <w:bottom w:color="EAF2FC" w:space="4" w:sz="4" w:val="single"/>
        <w:right w:color="EAF2FC" w:space="8" w:sz="4" w:val="single"/>
      </w:pBdr>
      <w:shd w:color="auto" w:fill="EAF2F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lave" w:type="paragraph">
    <w:name w:val="Recuadro Clave"/>
    <w:basedOn w:val="BodyText"/>
    <w:uiPriority w:val="10"/>
    <w:qFormat/>
    <w:pPr>
      <w:pBdr>
        <w:top w:color="FFF6DC" w:space="4" w:sz="4" w:val="single"/>
        <w:left w:color="D9A21B" w:space="8" w:sz="24" w:val="single"/>
        <w:bottom w:color="FFF6DC" w:space="4" w:sz="4" w:val="single"/>
        <w:right w:color="FFF6DC" w:space="8" w:sz="4" w:val="single"/>
      </w:pBdr>
      <w:shd w:color="auto" w:fill="FFF6D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Parcial" w:type="paragraph">
    <w:name w:val="Recuadro Parcial"/>
    <w:basedOn w:val="BodyText"/>
    <w:uiPriority w:val="10"/>
    <w:qFormat/>
    <w:pPr>
      <w:pBdr>
        <w:top w:color="E8F5EC" w:space="4" w:sz="4" w:val="single"/>
        <w:left w:color="2E8B57" w:space="8" w:sz="24" w:val="single"/>
        <w:bottom w:color="E8F5EC" w:space="4" w:sz="4" w:val="single"/>
        <w:right w:color="E8F5EC" w:space="8" w:sz="4" w:val="single"/>
      </w:pBdr>
      <w:shd w:color="auto" w:fill="E8F5E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Esqueleto" w:type="paragraph">
    <w:name w:val="Recuadro Esqueleto"/>
    <w:basedOn w:val="BodyText"/>
    <w:uiPriority w:val="10"/>
    <w:qFormat/>
    <w:pPr>
      <w:pBdr>
        <w:top w:color="E3F2F1" w:space="4" w:sz="4" w:val="single"/>
        <w:left w:color="0F6B66" w:space="8" w:sz="24" w:val="single"/>
        <w:bottom w:color="E3F2F1" w:space="4" w:sz="4" w:val="single"/>
        <w:right w:color="E3F2F1" w:space="8" w:sz="4" w:val="single"/>
      </w:pBdr>
      <w:shd w:color="auto" w:fill="E3F2F1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Atencion" w:type="paragraph">
    <w:name w:val="Recuadro Atencion"/>
    <w:basedOn w:val="BodyText"/>
    <w:uiPriority w:val="10"/>
    <w:qFormat/>
    <w:pPr>
      <w:pBdr>
        <w:top w:color="FDECEA" w:space="4" w:sz="4" w:val="single"/>
        <w:left w:color="C0392B" w:space="8" w:sz="24" w:val="single"/>
        <w:bottom w:color="FDECEA" w:space="4" w:sz="4" w:val="single"/>
        <w:right w:color="FDECEA" w:space="8" w:sz="4" w:val="single"/>
      </w:pBdr>
      <w:shd w:color="auto" w:fill="FDECEA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omplemento" w:type="paragraph">
    <w:name w:val="Recuadro Complemento"/>
    <w:basedOn w:val="BodyText"/>
    <w:uiPriority w:val="10"/>
    <w:qFormat/>
    <w:pPr>
      <w:pBdr>
        <w:top w:color="F2F4F6" w:space="4" w:sz="4" w:val="single"/>
        <w:left w:color="8A96A3" w:space="8" w:sz="24" w:val="single"/>
        <w:bottom w:color="F2F4F6" w:space="4" w:sz="4" w:val="single"/>
        <w:right w:color="F2F4F6" w:space="8" w:sz="4" w:val="single"/>
      </w:pBdr>
      <w:shd w:color="auto" w:fill="F2F4F6" w:val="clear"/>
      <w:spacing w:after="40" w:before="40" w:line="264" w:lineRule="auto"/>
      <w:ind w:left="227" w:right="227"/>
    </w:pPr>
    <w:rPr>
      <w:color w:val="3D4A57"/>
      <w:sz w:val="21"/>
      <w:szCs w:val="21"/>
    </w:rPr>
  </w:style>
  <w:style w:customStyle="1" w:styleId="RecuadroFuente" w:type="paragraph">
    <w:name w:val="Recuadro Fuente"/>
    <w:basedOn w:val="BodyText"/>
    <w:uiPriority w:val="10"/>
    <w:qFormat/>
    <w:pPr>
      <w:pBdr>
        <w:top w:color="F7F8FA" w:space="4" w:sz="4" w:val="single"/>
        <w:left w:color="C9D1D9" w:space="8" w:sz="24" w:val="single"/>
        <w:bottom w:color="F7F8FA" w:space="4" w:sz="4" w:val="single"/>
        <w:right w:color="F7F8FA" w:space="8" w:sz="4" w:val="single"/>
      </w:pBdr>
      <w:shd w:color="auto" w:fill="F7F8FA" w:val="clear"/>
      <w:spacing w:after="40" w:before="40" w:line="264" w:lineRule="auto"/>
      <w:ind w:left="227" w:right="227"/>
    </w:pPr>
    <w:rPr>
      <w:color w:val="3D4A57"/>
      <w:sz w:val="19"/>
      <w:szCs w:val="19"/>
    </w:rPr>
  </w:style>
  <w:style w:customStyle="1" w:styleId="EncabezadoGuia" w:type="paragraph">
    <w:name w:val="Encabezado guia"/>
    <w:basedOn w:val="Normal"/>
    <w:pPr>
      <w:pBdr>
        <w:bottom w:color="C9D1D9" w:space="2" w:sz="4" w:val="single"/>
      </w:pBdr>
      <w:jc w:val="right"/>
      <w:spacing w:after="0"/>
    </w:pPr>
    <w:rPr>
      <w:color w:val="5D6B78"/>
      <w:sz w:val="17"/>
    </w:rPr>
  </w:style>
  <w:style w:customStyle="1" w:styleId="PieGuia" w:type="paragraph">
    <w:name w:val="Pie guia"/>
    <w:basedOn w:val="Normal"/>
    <w:pPr>
      <w:jc w:val="center"/>
      <w:spacing w:after="0"/>
    </w:pPr>
    <w:rPr>
      <w:color w:val="5D6B78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2026-10-08T22:29:22Z</dcterms:created>
  <dcterms:modified xsi:type="dcterms:W3CDTF">2026-10-08T22:29:22Z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n_saltos">
    <vt:lpwstr>True</vt:lpwstr>
  </property>
</Properties>
</file>