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21-personalidad-ficha-de-repaso"/>
    <w:p>
      <w:pPr>
        <w:pStyle w:val="Heading1"/>
      </w:pPr>
      <w:r>
        <w:t xml:space="preserve">C21 — Personalidad · Ficha de repaso</w:t>
      </w:r>
    </w:p>
    <w:p>
      <w:pPr>
        <w:pStyle w:val="RecuadroIdea"/>
      </w:pPr>
      <w:r>
        <w:rPr>
          <w:b/>
          <w:bCs/>
        </w:rPr>
        <w:t xml:space="preserve">Idea-fuerza:</w:t>
      </w:r>
      <w:r>
        <w:t xml:space="preserve"> </w:t>
      </w:r>
      <w:r>
        <w:t xml:space="preserve">La personalidad es un patrón distintivo y relativamente estable de pensar, sentir y actuar con el que cada persona se</w:t>
      </w:r>
      <w:r>
        <w:t xml:space="preserve"> </w:t>
      </w:r>
      <w:r>
        <w:rPr>
          <w:b/>
          <w:bCs/>
        </w:rPr>
        <w:t xml:space="preserve">adapta</w:t>
      </w:r>
      <w:r>
        <w:t xml:space="preserve">; surge de la</w:t>
      </w:r>
      <w:r>
        <w:t xml:space="preserve"> </w:t>
      </w:r>
      <w:r>
        <w:rPr>
          <w:b/>
          <w:bCs/>
        </w:rPr>
        <w:t xml:space="preserve">interacción entre herencia (temperamento) y ambiente</w:t>
      </w:r>
      <w:r>
        <w:t xml:space="preserve">. Cuatro modelos explican su desarrollo adulto:</w:t>
      </w:r>
      <w:r>
        <w:t xml:space="preserve"> </w:t>
      </w:r>
      <w:r>
        <w:rPr>
          <w:b/>
          <w:bCs/>
        </w:rPr>
        <w:t xml:space="preserve">rasgos</w:t>
      </w:r>
      <w:r>
        <w:t xml:space="preserve"> </w:t>
      </w:r>
      <w:r>
        <w:t xml:space="preserve">(casi no cambia),</w:t>
      </w:r>
      <w:r>
        <w:t xml:space="preserve"> </w:t>
      </w:r>
      <w:r>
        <w:rPr>
          <w:b/>
          <w:bCs/>
        </w:rPr>
        <w:t xml:space="preserve">autoconcepto</w:t>
      </w:r>
      <w:r>
        <w:t xml:space="preserve"> </w:t>
      </w:r>
      <w:r>
        <w:t xml:space="preserve">(equilibrio estabilidad-cambio),</w:t>
      </w:r>
      <w:r>
        <w:t xml:space="preserve"> </w:t>
      </w:r>
      <w:r>
        <w:rPr>
          <w:b/>
          <w:bCs/>
        </w:rPr>
        <w:t xml:space="preserve">etapas</w:t>
      </w:r>
      <w:r>
        <w:t xml:space="preserve"> </w:t>
      </w:r>
      <w:r>
        <w:t xml:space="preserve">(cambio normativo por edad) y</w:t>
      </w:r>
      <w:r>
        <w:t xml:space="preserve"> </w:t>
      </w:r>
      <w:r>
        <w:rPr>
          <w:b/>
          <w:bCs/>
        </w:rPr>
        <w:t xml:space="preserve">acontecimientos vitales</w:t>
      </w:r>
      <w:r>
        <w:t xml:space="preserve"> </w:t>
      </w:r>
      <w:r>
        <w:t xml:space="preserve">(cambio según el momento de los eventos). En la adultez media los roles de</w:t>
      </w:r>
      <w:r>
        <w:t xml:space="preserve"> </w:t>
      </w:r>
      <w:r>
        <w:rPr>
          <w:b/>
          <w:bCs/>
        </w:rPr>
        <w:t xml:space="preserve">género</w:t>
      </w:r>
      <w:r>
        <w:t xml:space="preserve"> </w:t>
      </w:r>
      <w:r>
        <w:t xml:space="preserve">tienden a ser más andróginos (Cátedra de Psicología Evolutiva, 2026g, diapositivas 3, 7, 12, 31; Papalia et al., 2009b, pp. 395, 398-400).</w:t>
      </w:r>
    </w:p>
    <w:p>
      <w:pPr>
        <w:pStyle w:val="BodyText"/>
      </w:pPr>
      <w:r>
        <w:drawing>
          <wp:inline>
            <wp:extent cx="5759999" cy="1983673"/>
            <wp:effectExtent b="0" l="0" r="0" t="0"/>
            <wp:docPr descr="Diagrama 01" title="" id="10" name="Picture"/>
            <a:graphic>
              <a:graphicData uri="http://schemas.openxmlformats.org/drawingml/2006/picture">
                <pic:pic>
                  <pic:nvPicPr>
                    <pic:cNvPr descr="C:/Users/Fmendezcasariego/OneDrive/Carpetas/Educación/Universidad/Favaloro/Psicología/2do%20Año/Psicología%20Evolutiva/3_Guias_de_Estudio/_media/C21_Personalidad_Repaso_0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1983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2" w:name="esqueletos-de-respuesta"/>
    <w:p>
      <w:pPr>
        <w:pStyle w:val="Heading2"/>
      </w:pPr>
      <w:r>
        <w:t xml:space="preserve">Esqueletos de respuesta</w:t>
      </w:r>
    </w:p>
    <w:p>
      <w:pPr>
        <w:pStyle w:val="FirstParagraph"/>
      </w:pPr>
      <w:r>
        <w:rPr>
          <w:b/>
          <w:bCs/>
        </w:rPr>
        <w:t xml:space="preserve">P1. Desarrollo de la personalidad.</w:t>
      </w:r>
      <w:r>
        <w:t xml:space="preserve"> </w:t>
      </w:r>
      <w:r>
        <w:t xml:space="preserve">1) No está fijada al nacer: interacción herencia-ambiente. 2) Temperamento: disposición emocional de base genética (p. 398). 3) Gemelos: el ambiente explica la mitad de la variación (pp. 398-399). 4) Influencia mutua: el temperamento del niño cambia la crianza y viceversa (p. 399).</w:t>
      </w:r>
    </w:p>
    <w:p>
      <w:pPr>
        <w:pStyle w:val="BodyText"/>
      </w:pPr>
      <w:r>
        <w:rPr>
          <w:b/>
          <w:bCs/>
        </w:rPr>
        <w:t xml:space="preserve">P2. Cinco factores.</w:t>
      </w:r>
      <w:r>
        <w:t xml:space="preserve"> </w:t>
      </w:r>
      <w:r>
        <w:t xml:space="preserve">1) Neuroticismo, extraversión, apertura, meticulosidad, amabilidad (p. 401). 2) Bajan N, E y apertura de los 18 a los 30; suben amabilidad y meticulosidad (p. 402). 3) Patrones similares entre culturas; efecto de cohorte en los estudios transversales; la gente cree que cambió más de lo que muestran las mediciones (pp. 402-405).</w:t>
      </w:r>
    </w:p>
    <w:p>
      <w:pPr>
        <w:pStyle w:val="BodyText"/>
      </w:pPr>
      <w:r>
        <w:rPr>
          <w:b/>
          <w:bCs/>
        </w:rPr>
        <w:t xml:space="preserve">P3. Whitbourne.</w:t>
      </w:r>
      <w:r>
        <w:t xml:space="preserve"> </w:t>
      </w:r>
      <w:r>
        <w:t xml:space="preserve">1) Estilos de identidad. 2) Asimilación: la experiencia se ajusta al yo. 3) Acomodación: el yo se ajusta a la experiencia. 4) El exceso de asimilación vuelve ciego; el de acomodación, influenciable (p. 406).</w:t>
      </w:r>
    </w:p>
    <w:p>
      <w:pPr>
        <w:pStyle w:val="BodyText"/>
      </w:pPr>
      <w:r>
        <w:rPr>
          <w:b/>
          <w:bCs/>
        </w:rPr>
        <w:t xml:space="preserve">P4. Etapas vs. acontecimientos vitales.</w:t>
      </w:r>
      <w:r>
        <w:t xml:space="preserve"> </w:t>
      </w:r>
      <w:r>
        <w:t xml:space="preserve">Etapas: cambio normativo por edad (Erikson: generatividad vs. estancamiento); crítica: muestras de hombres blancos de clase media-alta nacidos en 1920-1930 (pp. 407-414). Acontecimientos: eventos normativos y no normativos; la crisis viene por lo inesperado, por el momento o por lo que nunca llega (pp. 415-416).</w:t>
      </w:r>
    </w:p>
    <w:p>
      <w:pPr>
        <w:pStyle w:val="BodyText"/>
      </w:pPr>
      <w:r>
        <w:rPr>
          <w:b/>
          <w:bCs/>
        </w:rPr>
        <w:t xml:space="preserve">P5. Género.</w:t>
      </w:r>
      <w:r>
        <w:t xml:space="preserve"> </w:t>
      </w:r>
      <w:r>
        <w:t xml:space="preserve">Aprendizaje social (observación, imitación, reforzamiento); cognitivo-evolutivas (cuatro etapas, hasta la trascendencia del rol); esquema de género (esquemas modificables pero resistentes); más androginia en la adultez media (pp. 419-421).</w:t>
      </w:r>
    </w:p>
    <w:bookmarkEnd w:id="12"/>
    <w:bookmarkStart w:id="13" w:name="no-confundir"/>
    <w:p>
      <w:pPr>
        <w:pStyle w:val="Heading2"/>
      </w:pPr>
      <w:r>
        <w:t xml:space="preserve">No confundir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Q-sort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Ordenar tarjetas según cuánto describen / cuestionario sobre rasgos (diapositivas 4-5)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Disposición emocional de base genética / patrón más amplio, también moldeado por la experiencia (pp. 395, 398)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 percibido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 medido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que la persona cree en retrospectiva (mayor) / lo que muestran las pruebas longitudinales (diapositiva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Asimilación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Acomodación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experiencia se ajusta al yo / el yo se ajusta a la experiencia (p. 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Modelo de etapas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Acontecimientos vitales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cambio llega con la edad / con los eventos y su momento (pp. 407, 416)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Aprendizaje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Cognitivo-evolutiva / esquema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Aprender del ambiente / construir activamente la noción de género / combina ambas (pp. 419-420)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Tendencias básicas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Adaptaciones específicas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Rasgos, salud, inteligencia (lo que menos cambia) / roles, hábitos, actitudes (p. 400)</w:t>
            </w:r>
          </w:p>
        </w:tc>
      </w:tr>
    </w:tbl>
    <w:bookmarkEnd w:id="13"/>
    <w:bookmarkStart w:id="14" w:name="datos-que-conviene-saber"/>
    <w:p>
      <w:pPr>
        <w:pStyle w:val="Heading2"/>
      </w:pPr>
      <w:r>
        <w:t xml:space="preserve">Datos que conviene saber</w:t>
      </w:r>
    </w:p>
    <w:p>
      <w:pPr>
        <w:pStyle w:val="Compact"/>
        <w:numPr>
          <w:ilvl w:val="0"/>
          <w:numId w:val="1001"/>
        </w:numPr>
      </w:pPr>
      <w:r>
        <w:t xml:space="preserve">Eaves, Eysenck y Martin (1989): en gemelos, el ambiente explica</w:t>
      </w:r>
      <w:r>
        <w:t xml:space="preserve"> </w:t>
      </w:r>
      <w:r>
        <w:rPr>
          <w:b/>
          <w:bCs/>
        </w:rPr>
        <w:t xml:space="preserve">la mitad</w:t>
      </w:r>
      <w:r>
        <w:t xml:space="preserve"> </w:t>
      </w:r>
      <w:r>
        <w:t xml:space="preserve">de la variación de la personalidad (Papalia et al., 2009b, pp. 398-399).</w:t>
      </w:r>
    </w:p>
    <w:p>
      <w:pPr>
        <w:pStyle w:val="Compact"/>
        <w:numPr>
          <w:ilvl w:val="0"/>
          <w:numId w:val="1001"/>
        </w:numPr>
      </w:pPr>
      <w:r>
        <w:t xml:space="preserve">El temperamento a los 3-6 años y el estilo parental explicaron el optimismo o pesimismo</w:t>
      </w:r>
      <w:r>
        <w:t xml:space="preserve"> </w:t>
      </w:r>
      <w:r>
        <w:rPr>
          <w:b/>
          <w:bCs/>
        </w:rPr>
        <w:t xml:space="preserve">21 años</w:t>
      </w:r>
      <w:r>
        <w:t xml:space="preserve"> </w:t>
      </w:r>
      <w:r>
        <w:t xml:space="preserve">después (p. 399).</w:t>
      </w:r>
    </w:p>
    <w:p>
      <w:pPr>
        <w:pStyle w:val="Compact"/>
        <w:numPr>
          <w:ilvl w:val="0"/>
          <w:numId w:val="1001"/>
        </w:numPr>
      </w:pPr>
      <w:r>
        <w:t xml:space="preserve">Seis elementos de Costa y McCrae: tendencias básicas, influencias externas, adaptaciones específicas, autoconcepto, biografía objetiva y procesos dinámicos (p. 400).</w:t>
      </w:r>
    </w:p>
    <w:bookmarkEnd w:id="14"/>
    <w:bookmarkStart w:id="15" w:name="referencias"/>
    <w:p>
      <w:pPr>
        <w:pStyle w:val="Heading2"/>
      </w:pPr>
      <w:r>
        <w:t xml:space="preserve">Referencias</w:t>
      </w:r>
    </w:p>
    <w:p>
      <w:pPr>
        <w:pStyle w:val="FirstParagraph"/>
      </w:pPr>
      <w:r>
        <w:t xml:space="preserve">Cátedra de Psicología Evolutiva. (2026g).</w:t>
      </w:r>
      <w:r>
        <w:t xml:space="preserve"> </w:t>
      </w:r>
      <w:r>
        <w:rPr>
          <w:i/>
          <w:iCs/>
        </w:rPr>
        <w:t xml:space="preserve">Desarrollo de la personalidad</w:t>
      </w:r>
      <w:r>
        <w:t xml:space="preserve"> </w:t>
      </w:r>
      <w:r>
        <w:t xml:space="preserve">[Diapositivas de clase, unidad 10]. Universidad Favaloro.</w:t>
      </w:r>
    </w:p>
    <w:p>
      <w:pPr>
        <w:pStyle w:val="BodyText"/>
      </w:pPr>
      <w:r>
        <w:t xml:space="preserve">Papalia, D. E., Sterns, H. L., Feldman, R. D., &amp; Camp, C. J. (2009b). Desarrollo de la personalidad. En</w:t>
      </w:r>
      <w:r>
        <w:t xml:space="preserve"> </w:t>
      </w:r>
      <w:r>
        <w:rPr>
          <w:i/>
          <w:iCs/>
        </w:rPr>
        <w:t xml:space="preserve">Desarrollo del adulto y vejez</w:t>
      </w:r>
      <w:r>
        <w:t xml:space="preserve"> </w:t>
      </w:r>
      <w:r>
        <w:t xml:space="preserve">(cap. 11, pp. 392-430). McGraw Hill Interamericana.</w:t>
      </w:r>
    </w:p>
    <w:bookmarkEnd w:id="15"/>
    <w:bookmarkStart w:id="16" w:name="autoevaluación-rápida"/>
    <w:p>
      <w:pPr>
        <w:pStyle w:val="Heading2"/>
      </w:pPr>
      <w:r>
        <w:t xml:space="preserve">Autoevaluación rápida</w:t>
      </w:r>
    </w:p>
    <w:p>
      <w:pPr>
        <w:pStyle w:val="Compact"/>
        <w:numPr>
          <w:ilvl w:val="0"/>
          <w:numId w:val="1002"/>
        </w:numPr>
      </w:pPr>
      <w:r>
        <w:t xml:space="preserve">Definí personalidad y explicá qué es la adaptación.</w:t>
      </w:r>
    </w:p>
    <w:p>
      <w:pPr>
        <w:pStyle w:val="Compact"/>
        <w:numPr>
          <w:ilvl w:val="0"/>
          <w:numId w:val="1002"/>
        </w:numPr>
      </w:pPr>
      <w:r>
        <w:t xml:space="preserve">¿Qué diferencia el Q-sort de un inventario?</w:t>
      </w:r>
    </w:p>
    <w:p>
      <w:pPr>
        <w:pStyle w:val="Compact"/>
        <w:numPr>
          <w:ilvl w:val="0"/>
          <w:numId w:val="1002"/>
        </w:numPr>
      </w:pPr>
      <w:r>
        <w:t xml:space="preserve">¿Qué mostraron los estudios de gemelos sobre herencia y ambiente?</w:t>
      </w:r>
    </w:p>
    <w:p>
      <w:pPr>
        <w:pStyle w:val="Compact"/>
        <w:numPr>
          <w:ilvl w:val="0"/>
          <w:numId w:val="1002"/>
        </w:numPr>
      </w:pPr>
      <w:r>
        <w:t xml:space="preserve">¿Cuáles son los cinco factores y cómo cambian con la edad?</w:t>
      </w:r>
    </w:p>
    <w:p>
      <w:pPr>
        <w:pStyle w:val="Compact"/>
        <w:numPr>
          <w:ilvl w:val="0"/>
          <w:numId w:val="1002"/>
        </w:numPr>
      </w:pPr>
      <w:r>
        <w:t xml:space="preserve">Asimilación y acomodación de identidad: ¿qué pasa con el exceso de cada una?</w:t>
      </w:r>
    </w:p>
    <w:p>
      <w:pPr>
        <w:pStyle w:val="Compact"/>
        <w:numPr>
          <w:ilvl w:val="0"/>
          <w:numId w:val="1002"/>
        </w:numPr>
      </w:pPr>
      <w:r>
        <w:t xml:space="preserve">¿Qué critica la cátedra a los modelos de etapas?</w:t>
      </w:r>
    </w:p>
    <w:p>
      <w:pPr>
        <w:pStyle w:val="Compact"/>
        <w:numPr>
          <w:ilvl w:val="0"/>
          <w:numId w:val="1002"/>
        </w:numPr>
      </w:pPr>
      <w:r>
        <w:t xml:space="preserve">Dá un ejemplo de evento normativo «fuera de tiempo» y de uno que nunca ocurre.</w:t>
      </w:r>
    </w:p>
    <w:p>
      <w:pPr>
        <w:pStyle w:val="Compact"/>
        <w:numPr>
          <w:ilvl w:val="0"/>
          <w:numId w:val="1002"/>
        </w:numPr>
      </w:pPr>
      <w:r>
        <w:t xml:space="preserve">Nombrá las cuatro etapas cognitivo-evolutivas del rol de género.</w:t>
      </w:r>
    </w:p>
    <w:bookmarkEnd w:id="16"/>
    <w:bookmarkEnd w:id="17"/>
    <w:sectPr>
      <w:headerReference r:id="rIdHdr1" w:type="default"/>
      <w:footerReference r:id="rIdFtr1" w:type="default"/>
      <w:pgSz w:h="16838" w:w="11906"/>
      <w:pgMar w:bottom="720" w:footer="397" w:gutter="0" w:header="397" w:left="720" w:right="1701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Guia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EncabezadoGuia"/>
    </w:pPr>
    <w:r>
      <w:t xml:space="preserve">C21 — Personalidad · Ficha de repaso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76" w:lineRule="auto"/>
      <w:jc w:val="both"/>
    </w:pPr>
    <w:rPr>
      <w:rFonts w:ascii="Calibri" w:hAnsi="Calibri"/>
      <w:color w:val="14202B"/>
      <w:sz w:val="22"/>
    </w:rPr>
  </w:style>
  <w:style w:styleId="BodyText" w:type="paragraph">
    <w:name w:val="Body Text"/>
    <w:basedOn w:val="Normal"/>
    <w:link w:val="BodyTextChar"/>
    <w:pPr>
      <w:spacing w:after="120" w:before="180" w:line="276" w:lineRule="auto"/>
    </w:pPr>
    <w:qFormat/>
    <w:rPr>
      <w:rFonts w:ascii="Calibri" w:hAnsi="Calibri"/>
      <w:color w:val="14202B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 w:line="276" w:lineRule="auto"/>
    </w:pPr>
    <w:rPr>
      <w:rFonts w:ascii="Calibri" w:hAnsi="Calibri"/>
      <w:color w:val="14202B"/>
      <w:sz w:val="22"/>
    </w:rPr>
  </w:style>
  <w:style w:customStyle="1" w:styleId="Compact" w:type="paragraph">
    <w:name w:val="Compact"/>
    <w:basedOn w:val="BodyText"/>
    <w:qFormat/>
    <w:pPr>
      <w:spacing w:after="120" w:before="36" w:line="276" w:lineRule="auto"/>
    </w:pPr>
    <w:rPr>
      <w:rFonts w:ascii="Calibri" w:hAnsi="Calibri"/>
      <w:color w:val="14202B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80" w:before="200"/>
      <w:jc w:val="left"/>
    </w:pPr>
    <w:rPr>
      <w:rFonts w:ascii="Calibri" w:asciiTheme="majorHAnsi" w:cstheme="majorBidi" w:eastAsiaTheme="majorEastAsia" w:hAnsi="Calibri" w:hAnsiTheme="majorHAnsi"/>
      <w:b/>
      <w:bCs/>
      <w:color w:val="0F6B6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left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left"/>
    </w:pPr>
  </w:style>
  <w:style w:styleId="Date" w:type="paragraph">
    <w:name w:val="Date"/>
    <w:next w:val="BodyText"/>
    <w:qFormat/>
    <w:pPr>
      <w:keepNext/>
      <w:keepLines/>
      <w:jc w:val="left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0F6B6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8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0F6B6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2"/>
    </w:pPr>
    <w:rPr>
      <w:rFonts w:ascii="Calibri" w:asciiTheme="majorHAnsi" w:cstheme="majorBidi" w:eastAsiaTheme="majorEastAsia" w:hAnsi="Calibri" w:hAnsiTheme="majorHAnsi"/>
      <w:b/>
      <w:bCs/>
      <w:color w:val="0F6B66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/>
      <w:jc w:val="left"/>
      <w:outlineLvl w:val="3"/>
    </w:pPr>
    <w:rPr>
      <w:rFonts w:ascii="Calibri" w:asciiTheme="majorHAnsi" w:cstheme="majorBidi" w:eastAsiaTheme="majorEastAsia" w:hAnsi="Calibri" w:hAnsiTheme="majorHAnsi"/>
      <w:i/>
      <w:b/>
      <w:bCs/>
      <w:color w:val="14202B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jc w:val="left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C9D1D9" w:space="8" w:sz="12" w:val="single"/>
      </w:pBdr>
      <w:spacing w:after="100" w:before="100"/>
      <w:ind w:firstLine="0" w:left="454" w:right="480"/>
    </w:pPr>
    <w:rPr>
      <w:rFonts w:ascii="Calibri" w:hAnsi="Calibri"/>
      <w:color w:val="5D6B78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left"/>
    </w:pPr>
    <w:rPr>
      <w:i/>
      <w:color w:val="5D6B78"/>
      <w:sz w:val="18"/>
    </w:rPr>
  </w:style>
  <w:style w:customStyle="1" w:styleId="TableCaption" w:type="paragraph">
    <w:name w:val="Table Caption"/>
    <w:basedOn w:val="Caption"/>
    <w:pPr>
      <w:keepNext/>
      <w:jc w:val="left"/>
    </w:pPr>
    <w:rPr>
      <w:color w:val="5D6B78"/>
      <w:sz w:val="18"/>
    </w:rPr>
  </w:style>
  <w:style w:customStyle="1" w:styleId="ImageCaption" w:type="paragraph">
    <w:name w:val="Image Caption"/>
    <w:basedOn w:val="Caption"/>
    <w:pPr>
      <w:jc w:val="left"/>
    </w:pPr>
    <w:rPr>
      <w:color w:val="5D6B78"/>
      <w:sz w:val="18"/>
    </w:r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ecuadroIdea" w:type="paragraph">
    <w:name w:val="Recuadro Idea"/>
    <w:basedOn w:val="BodyText"/>
    <w:uiPriority w:val="10"/>
    <w:qFormat/>
    <w:pPr>
      <w:pBdr>
        <w:top w:color="EAF2FC" w:space="4" w:sz="4" w:val="single"/>
        <w:left w:color="2F6DB5" w:space="8" w:sz="24" w:val="single"/>
        <w:bottom w:color="EAF2FC" w:space="4" w:sz="4" w:val="single"/>
        <w:right w:color="EAF2FC" w:space="8" w:sz="4" w:val="single"/>
      </w:pBdr>
      <w:shd w:color="auto" w:fill="EAF2F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lave" w:type="paragraph">
    <w:name w:val="Recuadro Clave"/>
    <w:basedOn w:val="BodyText"/>
    <w:uiPriority w:val="10"/>
    <w:qFormat/>
    <w:pPr>
      <w:pBdr>
        <w:top w:color="FFF6DC" w:space="4" w:sz="4" w:val="single"/>
        <w:left w:color="D9A21B" w:space="8" w:sz="24" w:val="single"/>
        <w:bottom w:color="FFF6DC" w:space="4" w:sz="4" w:val="single"/>
        <w:right w:color="FFF6DC" w:space="8" w:sz="4" w:val="single"/>
      </w:pBdr>
      <w:shd w:color="auto" w:fill="FFF6D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Parcial" w:type="paragraph">
    <w:name w:val="Recuadro Parcial"/>
    <w:basedOn w:val="BodyText"/>
    <w:uiPriority w:val="10"/>
    <w:qFormat/>
    <w:pPr>
      <w:pBdr>
        <w:top w:color="E8F5EC" w:space="4" w:sz="4" w:val="single"/>
        <w:left w:color="2E8B57" w:space="8" w:sz="24" w:val="single"/>
        <w:bottom w:color="E8F5EC" w:space="4" w:sz="4" w:val="single"/>
        <w:right w:color="E8F5EC" w:space="8" w:sz="4" w:val="single"/>
      </w:pBdr>
      <w:shd w:color="auto" w:fill="E8F5EC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Esqueleto" w:type="paragraph">
    <w:name w:val="Recuadro Esqueleto"/>
    <w:basedOn w:val="BodyText"/>
    <w:uiPriority w:val="10"/>
    <w:qFormat/>
    <w:pPr>
      <w:pBdr>
        <w:top w:color="E3F2F1" w:space="4" w:sz="4" w:val="single"/>
        <w:left w:color="0F6B66" w:space="8" w:sz="24" w:val="single"/>
        <w:bottom w:color="E3F2F1" w:space="4" w:sz="4" w:val="single"/>
        <w:right w:color="E3F2F1" w:space="8" w:sz="4" w:val="single"/>
      </w:pBdr>
      <w:shd w:color="auto" w:fill="E3F2F1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Atencion" w:type="paragraph">
    <w:name w:val="Recuadro Atencion"/>
    <w:basedOn w:val="BodyText"/>
    <w:uiPriority w:val="10"/>
    <w:qFormat/>
    <w:pPr>
      <w:pBdr>
        <w:top w:color="FDECEA" w:space="4" w:sz="4" w:val="single"/>
        <w:left w:color="C0392B" w:space="8" w:sz="24" w:val="single"/>
        <w:bottom w:color="FDECEA" w:space="4" w:sz="4" w:val="single"/>
        <w:right w:color="FDECEA" w:space="8" w:sz="4" w:val="single"/>
      </w:pBdr>
      <w:shd w:color="auto" w:fill="FDECEA" w:val="clear"/>
      <w:spacing w:after="40" w:before="40" w:line="264" w:lineRule="auto"/>
      <w:ind w:left="227" w:right="227"/>
    </w:pPr>
    <w:rPr>
      <w:color w:val="14202B"/>
      <w:sz w:val="21"/>
      <w:szCs w:val="21"/>
    </w:rPr>
  </w:style>
  <w:style w:customStyle="1" w:styleId="RecuadroComplemento" w:type="paragraph">
    <w:name w:val="Recuadro Complemento"/>
    <w:basedOn w:val="BodyText"/>
    <w:uiPriority w:val="10"/>
    <w:qFormat/>
    <w:pPr>
      <w:pBdr>
        <w:top w:color="F2F4F6" w:space="4" w:sz="4" w:val="single"/>
        <w:left w:color="8A96A3" w:space="8" w:sz="24" w:val="single"/>
        <w:bottom w:color="F2F4F6" w:space="4" w:sz="4" w:val="single"/>
        <w:right w:color="F2F4F6" w:space="8" w:sz="4" w:val="single"/>
      </w:pBdr>
      <w:shd w:color="auto" w:fill="F2F4F6" w:val="clear"/>
      <w:spacing w:after="40" w:before="40" w:line="264" w:lineRule="auto"/>
      <w:ind w:left="227" w:right="227"/>
    </w:pPr>
    <w:rPr>
      <w:color w:val="3D4A57"/>
      <w:sz w:val="21"/>
      <w:szCs w:val="21"/>
    </w:rPr>
  </w:style>
  <w:style w:customStyle="1" w:styleId="RecuadroFuente" w:type="paragraph">
    <w:name w:val="Recuadro Fuente"/>
    <w:basedOn w:val="BodyText"/>
    <w:uiPriority w:val="10"/>
    <w:qFormat/>
    <w:pPr>
      <w:pBdr>
        <w:top w:color="F7F8FA" w:space="4" w:sz="4" w:val="single"/>
        <w:left w:color="C9D1D9" w:space="8" w:sz="24" w:val="single"/>
        <w:bottom w:color="F7F8FA" w:space="4" w:sz="4" w:val="single"/>
        <w:right w:color="F7F8FA" w:space="8" w:sz="4" w:val="single"/>
      </w:pBdr>
      <w:shd w:color="auto" w:fill="F7F8FA" w:val="clear"/>
      <w:spacing w:after="40" w:before="40" w:line="264" w:lineRule="auto"/>
      <w:ind w:left="227" w:right="227"/>
    </w:pPr>
    <w:rPr>
      <w:color w:val="3D4A57"/>
      <w:sz w:val="19"/>
      <w:szCs w:val="19"/>
    </w:rPr>
  </w:style>
  <w:style w:customStyle="1" w:styleId="EncabezadoGuia" w:type="paragraph">
    <w:name w:val="Encabezado guia"/>
    <w:basedOn w:val="Normal"/>
    <w:pPr>
      <w:pBdr>
        <w:bottom w:color="C9D1D9" w:space="2" w:sz="4" w:val="single"/>
      </w:pBdr>
      <w:jc w:val="right"/>
      <w:spacing w:after="0"/>
    </w:pPr>
    <w:rPr>
      <w:color w:val="5D6B78"/>
      <w:sz w:val="17"/>
    </w:rPr>
  </w:style>
  <w:style w:customStyle="1" w:styleId="PieGuia" w:type="paragraph">
    <w:name w:val="Pie guia"/>
    <w:basedOn w:val="Normal"/>
    <w:pPr>
      <w:jc w:val="center"/>
      <w:spacing w:after="0"/>
    </w:pPr>
    <w:rPr>
      <w:color w:val="5D6B78"/>
      <w:sz w:val="17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Hdr1" Target="header1.xml" Type="http://schemas.openxmlformats.org/officeDocument/2006/relationships/header" /><Relationship Id="rIdFtr1" Target="footer1.xml" Type="http://schemas.openxmlformats.org/officeDocument/2006/relationships/footer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2026-10-21T03:17:41Z</dcterms:created>
  <dcterms:modified xsi:type="dcterms:W3CDTF">2026-10-21T03:17:41Z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in_saltos">
    <vt:lpwstr>True</vt:lpwstr>
  </property>
</Properties>
</file>